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440001-2023-41055</w:t>
      </w:r>
    </w:p>
    <w:p>
      <w:pPr>
        <w:jc w:val="center"/>
      </w:pPr>
      <w:r>
        <w:rPr>
          <w:b/>
          <w:sz w:val="24"/>
        </w:rPr>
        <w:t>采购项目编号：</w:t>
      </w:r>
      <w:r>
        <w:rPr>
          <w:b/>
          <w:sz w:val="24"/>
        </w:rPr>
        <w:t>M4400000707021118</w:t>
      </w:r>
    </w:p>
    <w:p>
      <w:pPr>
        <w:jc w:val="center"/>
      </w:pPr>
      <w:r>
        <w:rPr>
          <w:b/>
          <w:sz w:val="24"/>
        </w:rPr>
        <w:t>项目名称：</w:t>
      </w:r>
      <w:r>
        <w:rPr>
          <w:b/>
          <w:sz w:val="24"/>
        </w:rPr>
        <w:t>广州中医药大学第三附属医院骨伤科分院电力增容工程</w:t>
      </w:r>
    </w:p>
    <w:p>
      <w:pPr>
        <w:jc w:val="center"/>
      </w:pPr>
      <w:r>
        <w:rPr>
          <w:b/>
          <w:sz w:val="24"/>
        </w:rPr>
        <w:t>采购人：</w:t>
      </w:r>
      <w:r>
        <w:rPr>
          <w:b/>
          <w:sz w:val="24"/>
        </w:rPr>
        <w:t>广州中医药大学第三附属医院</w:t>
      </w:r>
    </w:p>
    <w:p>
      <w:pPr>
        <w:jc w:val="center"/>
      </w:pPr>
      <w:r>
        <w:rPr>
          <w:b/>
          <w:sz w:val="24"/>
        </w:rPr>
        <w:t>采购代理机构：</w:t>
      </w:r>
      <w:r>
        <w:rPr>
          <w:b/>
          <w:sz w:val="24"/>
        </w:rPr>
        <w:t>广东省机电设备招标有限公司</w:t>
      </w:r>
    </w:p>
    <w:p>
      <w:pPr>
        <w:ind w:firstLine="480"/>
      </w:pPr>
    </w:p>
    <w:p>
      <w:r>
        <w:rPr/>
        <w:t xml:space="preserve"> </w:t>
      </w:r>
    </w:p>
    <w:p/>
    <w:p>
      <w:pPr>
        <w:jc w:val="center"/>
      </w:pPr>
      <w:r>
        <w:rPr>
          <w:b/>
          <w:sz w:val="36"/>
        </w:rPr>
        <w:t>第一章 磋商邀请</w:t>
      </w:r>
    </w:p>
    <w:p>
      <w:pPr>
        <w:ind w:firstLine="480"/>
      </w:pPr>
      <w:r>
        <w:rPr/>
        <w:t>广东省机电设备招标有限公司</w:t>
      </w:r>
      <w:r>
        <w:rPr/>
        <w:t>受</w:t>
      </w:r>
      <w:r>
        <w:rPr/>
        <w:t>广州中医药大学第三附属医院</w:t>
      </w:r>
      <w:r>
        <w:rPr/>
        <w:t>的委托，采用</w:t>
      </w:r>
      <w:r>
        <w:rPr/>
        <w:t>竞争性磋商</w:t>
      </w:r>
      <w:r>
        <w:rPr/>
        <w:t>方式组织采购</w:t>
      </w:r>
      <w:r>
        <w:rPr/>
        <w:t>广州中医药大学第三附属医院骨伤科分院电力增容工程</w:t>
      </w:r>
      <w:r>
        <w:rPr/>
        <w:t>。欢迎符合资格条件的供应商参加。</w:t>
      </w:r>
    </w:p>
    <w:p>
      <w:r>
        <w:rPr>
          <w:b/>
          <w:sz w:val="28"/>
        </w:rPr>
        <w:t>一.项目概述</w:t>
      </w:r>
    </w:p>
    <w:p>
      <w:r>
        <w:rPr>
          <w:b/>
          <w:sz w:val="24"/>
        </w:rPr>
        <w:t>1.名称与编号</w:t>
      </w:r>
    </w:p>
    <w:p>
      <w:pPr>
        <w:ind w:firstLine="480"/>
      </w:pPr>
      <w:r>
        <w:rPr/>
        <w:t>采购项目名称：</w:t>
      </w:r>
      <w:r>
        <w:rPr/>
        <w:t>广州中医药大学第三附属医院骨伤科分院电力增容工程</w:t>
      </w:r>
    </w:p>
    <w:p>
      <w:pPr>
        <w:ind w:firstLine="480"/>
      </w:pPr>
      <w:r>
        <w:rPr/>
        <w:t>采购计划编号：</w:t>
      </w:r>
      <w:r>
        <w:rPr/>
        <w:t>440001-2023-41055</w:t>
      </w:r>
    </w:p>
    <w:p>
      <w:pPr>
        <w:ind w:firstLine="480"/>
      </w:pPr>
      <w:r>
        <w:rPr/>
        <w:t>采购项目编号：</w:t>
      </w:r>
      <w:r>
        <w:rPr/>
        <w:t>M4400000707021118</w:t>
      </w:r>
    </w:p>
    <w:p>
      <w:pPr>
        <w:ind w:firstLine="480"/>
      </w:pPr>
      <w:r>
        <w:rPr/>
        <w:t>采购方式：</w:t>
      </w:r>
      <w:r>
        <w:rPr/>
        <w:t>竞争性磋商</w:t>
      </w:r>
    </w:p>
    <w:p>
      <w:pPr>
        <w:ind w:firstLine="480"/>
      </w:pPr>
      <w:r>
        <w:rPr/>
        <w:t>预算金额：</w:t>
      </w:r>
      <w:r>
        <w:rPr/>
        <w:t>2,500,000.00</w:t>
      </w:r>
      <w:r>
        <w:rPr/>
        <w:t>元</w:t>
      </w:r>
    </w:p>
    <w:p>
      <w:r>
        <w:rPr>
          <w:b/>
          <w:sz w:val="24"/>
        </w:rPr>
        <w:t>2.项目内容及需求情况（采购项目技术规格、参数及要求）</w:t>
      </w:r>
    </w:p>
    <w:p>
      <w:pPr>
        <w:ind w:firstLine="480"/>
      </w:pPr>
    </w:p>
    <w:p/>
    <w:p>
      <w:r>
        <w:rPr/>
        <w:t>采购包1(电力增容工程):</w:t>
      </w:r>
    </w:p>
    <w:p>
      <w:r>
        <w:rPr/>
        <w:t>采购包预算金额：2,500,000.00元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其他电力系统安装</w:t>
            </w:r>
          </w:p>
        </w:tc>
        <w:tc>
          <w:tcPr>
            <w:tcW w:type="dxa" w:w="2136"/>
          </w:tcPr>
          <w:p>
            <w:r>
              <w:rPr/>
              <w:t>广州中医药大学第三附属医院骨伤科分院电力增容工程</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合同履行期限：总工期：120日历天；质保期：2年。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1）具有独立承担民事责任的能力：供应商必须是具有独立承担民事责任能力的在中华人民共和国境内注册的法人或其他组织，提交有效的营业执照（或事业法人登记证或身份证等相关证明）副本复印件。</w:t>
      </w:r>
    </w:p>
    <w:p/>
    <w:p>
      <w:r>
        <w:rPr/>
        <w:t>2）有依法缴纳税收和社会保障资金的良好记录：依据《响应承诺函》。</w:t>
      </w:r>
    </w:p>
    <w:p/>
    <w:p>
      <w:r>
        <w:rPr/>
        <w:t>3）具有良好的商业信誉和健全的财务会计制度：依据《响应承诺函》。</w:t>
      </w:r>
    </w:p>
    <w:p/>
    <w:p>
      <w:r>
        <w:rPr/>
        <w:t>4）履行合同所必需的设备和专业技术能力：依据《响应承诺函》。</w:t>
      </w:r>
    </w:p>
    <w:p/>
    <w:p>
      <w:r>
        <w:rPr/>
        <w:t>5）参加采购活动前3年内，在经营活动中没有重大违法记录：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格式自拟）</w:t>
      </w:r>
    </w:p>
    <w:p/>
    <w:p>
      <w:r>
        <w:rPr>
          <w:b/>
          <w:sz w:val="24"/>
        </w:rPr>
        <w:t>2.落实政府采购政策需满足的资格要求：</w:t>
      </w:r>
    </w:p>
    <w:p>
      <w:pPr>
        <w:ind w:firstLine="480"/>
      </w:pPr>
    </w:p>
    <w:p>
      <w:pPr>
        <w:jc w:val="left"/>
      </w:pPr>
    </w:p>
    <w:p>
      <w:r>
        <w:rPr/>
        <w:t>采购包1（电力增容工程）：</w:t>
      </w:r>
      <w:r>
        <w:rPr/>
        <w:t>供应商须为符合本项目采购标的对应行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计定。中小企业划分标准所属行业为：工业。</w:t>
      </w:r>
    </w:p>
    <w:p/>
    <w:p>
      <w:r>
        <w:rPr>
          <w:b/>
          <w:sz w:val="24"/>
        </w:rPr>
        <w:t>3.本项目特定的资格要求：</w:t>
      </w:r>
    </w:p>
    <w:p>
      <w:pPr>
        <w:ind w:firstLine="480"/>
      </w:pPr>
    </w:p>
    <w:p/>
    <w:p>
      <w:r>
        <w:rPr/>
        <w:t>采购包1（电力增容工程）：</w:t>
      </w:r>
    </w:p>
    <w:p/>
    <w:p>
      <w:r>
        <w:rPr/>
        <w:t>1)1）供应商应具有承接本工程所需的电力工程施工总承包三级或以上，或输变电工程（送变电工程）专业承包三级或以上，或建筑机电安装工程专业承包二级或以上资质，和《承装(修、试)电力设施许可证》承装类五级或以上资质，并取得安全生产许可证且在有效期内。（需提供资质证书、安全生产许可证复印件） 2）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 3）响应供应商拟担任本工程项目负责人的人员, 响应文件提供以下证书复印件： ①　机电工程专业二级或以上级别的注册建造师资质。 ②　项目负责人提供安全培训考核合格证（B类）或建筑施工企业管理人员安全生产考核信息系统安全生产管理人员证书信息的网页截图。 ③　项目负责人在任职期间不得担任专职安全员，项目专职安全员在任职期间也不得担任项目负责人，项目负责人和专职安全员不为同一人。报价响应文件提供承诺函（格式自定） 4)专职安全员须具有安全生产考核合格证（C类）或建筑施工企业管理人员安全生产考核合格证书。 5）单位负责人为同一人或者存在直接控股、 管理关系的不同供应商，不得同时参加本采购项目（或采购包）磋商。依据《响应承诺函》。 6）为本项目提供整体设计、规范编制或者项目管理、监理、检测等服务的供应商，不得再参与本项目磋商。依据《响应承诺函》。 7)本项目不接受联合体磋商。 8)供应商不得将本项目转包。</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https://www.gzebid.cn/#/</w:t>
      </w:r>
    </w:p>
    <w:p>
      <w:r>
        <w:rPr>
          <w:b/>
          <w:sz w:val="28"/>
        </w:rPr>
        <w:t>六.本项目联系方式：</w:t>
      </w:r>
    </w:p>
    <w:p>
      <w:r>
        <w:rPr>
          <w:b/>
          <w:sz w:val="24"/>
        </w:rPr>
        <w:t>1.采购人信息</w:t>
      </w:r>
    </w:p>
    <w:p>
      <w:pPr>
        <w:ind w:firstLine="480"/>
      </w:pPr>
      <w:r>
        <w:rPr/>
        <w:t>名称：</w:t>
      </w:r>
      <w:r>
        <w:rPr/>
        <w:t>广州中医药大学第三附属医院</w:t>
      </w:r>
    </w:p>
    <w:p>
      <w:pPr>
        <w:ind w:firstLine="480"/>
      </w:pPr>
      <w:r>
        <w:rPr/>
        <w:t>地址：</w:t>
      </w:r>
      <w:r>
        <w:rPr/>
        <w:t>广州市荔湾区龙溪大道261、263号</w:t>
      </w:r>
    </w:p>
    <w:p>
      <w:pPr>
        <w:ind w:firstLine="480"/>
      </w:pPr>
      <w:r>
        <w:rPr/>
        <w:t>联系方式：</w:t>
      </w:r>
      <w:r>
        <w:rPr/>
        <w:t>020-22292788</w:t>
      </w:r>
    </w:p>
    <w:p>
      <w:r>
        <w:rPr>
          <w:b/>
          <w:sz w:val="24"/>
        </w:rPr>
        <w:t>2.采购代理机构信息</w:t>
      </w:r>
    </w:p>
    <w:p>
      <w:pPr>
        <w:ind w:firstLine="480"/>
      </w:pPr>
      <w:r>
        <w:rPr/>
        <w:t>名称：</w:t>
      </w:r>
      <w:r>
        <w:rPr/>
        <w:t>广东省机电设备招标有限公司</w:t>
      </w:r>
    </w:p>
    <w:p>
      <w:pPr>
        <w:ind w:firstLine="480"/>
      </w:pPr>
      <w:r>
        <w:rPr/>
        <w:t>地址：</w:t>
      </w:r>
      <w:r>
        <w:rPr/>
        <w:t>广东省广州市越秀区环市中路316号金鹰大厦2507</w:t>
      </w:r>
    </w:p>
    <w:p>
      <w:pPr>
        <w:ind w:firstLine="480"/>
      </w:pPr>
      <w:r>
        <w:rPr/>
        <w:t>联系方式：</w:t>
      </w:r>
      <w:r>
        <w:rPr/>
        <w:t>020-83549690</w:t>
      </w:r>
    </w:p>
    <w:p>
      <w:r>
        <w:rPr>
          <w:b/>
          <w:sz w:val="24"/>
        </w:rPr>
        <w:t>3.项目联系方式</w:t>
      </w:r>
    </w:p>
    <w:p>
      <w:pPr>
        <w:ind w:firstLine="480"/>
      </w:pPr>
      <w:r>
        <w:rPr/>
        <w:t>项目联系人：</w:t>
      </w:r>
      <w:r>
        <w:rPr/>
        <w:t>投资造价采购咨询部</w:t>
      </w:r>
    </w:p>
    <w:p>
      <w:pPr>
        <w:ind w:firstLine="480"/>
      </w:pPr>
      <w:r>
        <w:rPr/>
        <w:t>电话：</w:t>
      </w:r>
      <w:r>
        <w:rPr/>
        <w:t>020-83549690</w:t>
      </w:r>
    </w:p>
    <w:p>
      <w:r>
        <w:rPr>
          <w:b/>
          <w:sz w:val="24"/>
        </w:rPr>
        <w:t>4.技术支持联系方式</w:t>
      </w:r>
    </w:p>
    <w:p>
      <w:pPr>
        <w:ind w:firstLine="480"/>
      </w:pPr>
      <w:r>
        <w:rPr/>
        <w:t>云平台联系方式：020-88696588</w:t>
      </w:r>
    </w:p>
    <w:p>
      <w:r>
        <w:rPr/>
        <w:t>采购代理机构：</w:t>
      </w:r>
      <w:r>
        <w:rPr/>
        <w:t>广东省机电设备招标有限公司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说明：</w:t>
      </w:r>
      <w:r>
        <w:rPr>
          <w:b/>
          <w:sz w:val="24"/>
        </w:rPr>
        <w:t>1.</w:t>
      </w:r>
      <w:r>
        <w:rPr>
          <w:b/>
          <w:sz w:val="24"/>
        </w:rPr>
        <w:t>供应商须对本项目内容进行整体响应</w:t>
      </w:r>
      <w:r>
        <w:rPr>
          <w:b/>
          <w:sz w:val="24"/>
        </w:rPr>
        <w:t>，任何只对其中一部分内容进行的响应都被视作无效处理。</w:t>
      </w:r>
    </w:p>
    <w:p>
      <w:pPr>
        <w:jc w:val="both"/>
      </w:pPr>
      <w:r>
        <w:rPr>
          <w:b/>
          <w:sz w:val="24"/>
        </w:rPr>
        <w:t>2.</w:t>
      </w:r>
      <w:r>
        <w:rPr>
          <w:b/>
          <w:sz w:val="24"/>
        </w:rPr>
        <w:t>本磋商文件中，凡标有</w:t>
      </w:r>
      <w:r>
        <w:rPr>
          <w:b/>
          <w:sz w:val="24"/>
        </w:rPr>
        <w:t>“★”的地方，供应商要特别加以注意，必须对此作出</w:t>
      </w:r>
      <w:r>
        <w:rPr>
          <w:sz w:val="24"/>
        </w:rPr>
        <w:t>一一</w:t>
      </w:r>
      <w:r>
        <w:rPr>
          <w:b/>
          <w:sz w:val="24"/>
        </w:rPr>
        <w:t>响应。若有一项带</w:t>
      </w:r>
      <w:r>
        <w:rPr>
          <w:b/>
          <w:sz w:val="24"/>
        </w:rPr>
        <w:t>“★”的指标未响应或不满足，其响应文件作无效处理。</w:t>
      </w:r>
    </w:p>
    <w:p>
      <w:pPr>
        <w:jc w:val="both"/>
      </w:pPr>
    </w:p>
    <w:p>
      <w:pPr>
        <w:jc w:val="both"/>
      </w:pPr>
      <w:r>
        <w:rPr>
          <w:b/>
          <w:sz w:val="24"/>
        </w:rPr>
        <w:t>一、</w:t>
      </w:r>
      <w:r>
        <w:rPr>
          <w:b/>
          <w:sz w:val="24"/>
        </w:rPr>
        <w:t>项目标的</w:t>
      </w:r>
    </w:p>
    <w:tbl>
      <w:tblPr>
        <w:tblW w:w="0" w:type="auto"/>
        <w:tblBorders>
          <w:top w:val="none" w:color="000000" w:sz="4"/>
          <w:left w:val="none" w:color="000000" w:sz="4"/>
          <w:bottom w:val="none" w:color="000000" w:sz="4"/>
          <w:right w:val="none" w:color="000000" w:sz="4"/>
          <w:insideH w:val="none"/>
          <w:insideV w:val="none"/>
        </w:tblBorders>
      </w:tblPr>
      <w:tblGrid>
        <w:gridCol w:w="5282"/>
        <w:gridCol w:w="1033"/>
        <w:gridCol w:w="1992"/>
      </w:tblGrid>
      <w:tr>
        <w:tc>
          <w:tcPr>
            <w:tcW w:type="dxa" w:w="5282"/>
            <w:tcBorders>
              <w:top w:val="single" w:color="000000" w:sz="4"/>
              <w:left w:val="single" w:color="000000" w:sz="4"/>
              <w:bottom w:val="single" w:color="000000" w:sz="4"/>
              <w:right w:val="single" w:color="000000" w:sz="4"/>
            </w:tcBorders>
            <w:vAlign w:val="top"/>
          </w:tcPr>
          <w:p>
            <w:pPr>
              <w:jc w:val="center"/>
            </w:pPr>
            <w:r>
              <w:rPr>
                <w:b/>
                <w:sz w:val="21"/>
              </w:rPr>
              <w:t>标的名称</w:t>
            </w:r>
          </w:p>
        </w:tc>
        <w:tc>
          <w:tcPr>
            <w:tcW w:type="dxa" w:w="1033"/>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992"/>
            <w:tcBorders>
              <w:top w:val="single" w:color="000000" w:sz="4"/>
              <w:left w:val="single" w:color="000000" w:sz="4"/>
              <w:bottom w:val="single" w:color="000000" w:sz="4"/>
              <w:right w:val="single" w:color="000000" w:sz="4"/>
            </w:tcBorders>
            <w:vAlign w:val="top"/>
          </w:tcPr>
          <w:p>
            <w:pPr>
              <w:jc w:val="center"/>
            </w:pPr>
            <w:r>
              <w:rPr>
                <w:b/>
                <w:sz w:val="21"/>
              </w:rPr>
              <w:t>最高限价</w:t>
            </w:r>
            <w:r>
              <w:rPr>
                <w:b/>
                <w:sz w:val="21"/>
              </w:rPr>
              <w:t>(人民币)</w:t>
            </w:r>
          </w:p>
        </w:tc>
      </w:tr>
      <w:tr>
        <w:tc>
          <w:tcPr>
            <w:tcW w:type="dxa" w:w="5282"/>
            <w:tcBorders>
              <w:top w:val="none" w:color="000000" w:sz="4"/>
              <w:left w:val="single" w:color="000000" w:sz="4"/>
              <w:bottom w:val="single" w:color="000000" w:sz="4"/>
              <w:right w:val="single" w:color="000000" w:sz="4"/>
            </w:tcBorders>
            <w:vAlign w:val="top"/>
          </w:tcPr>
          <w:p>
            <w:pPr>
              <w:jc w:val="center"/>
            </w:pPr>
            <w:r>
              <w:rPr>
                <w:sz w:val="21"/>
              </w:rPr>
              <w:t>广州中医药大学第三附属医院骨伤科分院电力增容工程</w:t>
            </w:r>
          </w:p>
        </w:tc>
        <w:tc>
          <w:tcPr>
            <w:tcW w:type="dxa" w:w="1033"/>
            <w:tcBorders>
              <w:top w:val="none" w:color="000000" w:sz="4"/>
              <w:left w:val="single" w:color="000000" w:sz="4"/>
              <w:bottom w:val="single" w:color="000000" w:sz="4"/>
              <w:right w:val="single" w:color="000000" w:sz="4"/>
            </w:tcBorders>
            <w:vAlign w:val="top"/>
          </w:tcPr>
          <w:p>
            <w:pPr>
              <w:jc w:val="center"/>
            </w:pPr>
            <w:r>
              <w:rPr>
                <w:sz w:val="21"/>
              </w:rPr>
              <w:t>1项</w:t>
            </w:r>
          </w:p>
        </w:tc>
        <w:tc>
          <w:tcPr>
            <w:tcW w:type="dxa" w:w="1992"/>
            <w:tcBorders>
              <w:top w:val="none" w:color="000000" w:sz="4"/>
              <w:left w:val="single" w:color="000000" w:sz="4"/>
              <w:bottom w:val="single" w:color="000000" w:sz="4"/>
              <w:right w:val="single" w:color="000000" w:sz="4"/>
            </w:tcBorders>
            <w:vAlign w:val="top"/>
          </w:tcPr>
          <w:p>
            <w:pPr>
              <w:jc w:val="center"/>
            </w:pPr>
            <w:r>
              <w:rPr>
                <w:sz w:val="21"/>
              </w:rPr>
              <w:t>2</w:t>
            </w:r>
            <w:r>
              <w:rPr>
                <w:sz w:val="21"/>
              </w:rPr>
              <w:t>,</w:t>
            </w:r>
            <w:r>
              <w:rPr>
                <w:sz w:val="21"/>
              </w:rPr>
              <w:t>038</w:t>
            </w:r>
            <w:r>
              <w:rPr>
                <w:sz w:val="21"/>
              </w:rPr>
              <w:t>,</w:t>
            </w:r>
            <w:r>
              <w:rPr>
                <w:sz w:val="21"/>
              </w:rPr>
              <w:t>456.54元</w:t>
            </w:r>
          </w:p>
        </w:tc>
      </w:tr>
    </w:tbl>
    <w:p>
      <w:pPr>
        <w:ind w:firstLine="420"/>
      </w:pPr>
    </w:p>
    <w:p>
      <w:pPr>
        <w:jc w:val="both"/>
      </w:pPr>
      <w:r>
        <w:rPr>
          <w:b/>
          <w:sz w:val="24"/>
        </w:rPr>
        <w:t>二、</w:t>
      </w:r>
      <w:r>
        <w:rPr>
          <w:b/>
          <w:sz w:val="24"/>
        </w:rPr>
        <w:t>项目概况</w:t>
      </w:r>
    </w:p>
    <w:p>
      <w:pPr>
        <w:ind w:firstLine="420"/>
      </w:pPr>
      <w:r>
        <w:rPr>
          <w:sz w:val="21"/>
        </w:rPr>
        <w:t>广州中医药大学第三附属医院为三级甲等中医院，下设两个分支机构：骨伤科分院、芳村分院，为公益二类财政补助事业单位。随着社会的日益发展，现骨伤科分院的电力系统已无法满足设备的投入及环境的改善，为了满足医院的发展需求，提升患者的就医体验，我院拟对骨伤科分院电力系统进行改造。</w:t>
      </w:r>
    </w:p>
    <w:p>
      <w:pPr>
        <w:ind w:firstLine="420"/>
      </w:pPr>
      <w:r>
        <w:rPr>
          <w:sz w:val="21"/>
        </w:rPr>
        <w:t>项目建设地点：广州市海珠区江南中街。</w:t>
      </w:r>
    </w:p>
    <w:p>
      <w:r>
        <w:rPr>
          <w:sz w:val="21"/>
        </w:rPr>
        <w:t>1、</w:t>
      </w:r>
      <w:r>
        <w:rPr>
          <w:sz w:val="21"/>
        </w:rPr>
        <w:t>本项目供电方式拟采用</w:t>
      </w:r>
      <w:r>
        <w:rPr>
          <w:sz w:val="21"/>
        </w:rPr>
        <w:t>10kV双回路电源供电，主供电源自城总开关房接出，备供电源自可逸家园开关房接出。拟</w:t>
      </w:r>
      <w:r>
        <w:rPr>
          <w:sz w:val="21"/>
        </w:rPr>
        <w:t>新建预装</w:t>
      </w:r>
      <w:r>
        <w:rPr>
          <w:sz w:val="21"/>
        </w:rPr>
        <w:t>箱式</w:t>
      </w:r>
      <w:r>
        <w:rPr>
          <w:sz w:val="21"/>
        </w:rPr>
        <w:t>高压室及</w:t>
      </w:r>
      <w:r>
        <w:rPr>
          <w:sz w:val="21"/>
        </w:rPr>
        <w:t>变电站</w:t>
      </w:r>
      <w:r>
        <w:rPr>
          <w:sz w:val="21"/>
        </w:rPr>
        <w:t>800kVA、低压配电房改造及其线路路由等。本项目的施工范围自供电部门指定的电源点至院内低压配电房出线柜止。包括但不限于：</w:t>
      </w:r>
    </w:p>
    <w:p>
      <w:pPr>
        <w:ind w:firstLine="420"/>
      </w:pPr>
      <w:r>
        <w:rPr>
          <w:sz w:val="21"/>
        </w:rPr>
        <w:t>①</w:t>
      </w:r>
      <w:r>
        <w:rPr>
          <w:sz w:val="21"/>
        </w:rPr>
        <w:t>新建</w:t>
      </w:r>
      <w:r>
        <w:rPr>
          <w:sz w:val="21"/>
        </w:rPr>
        <w:t>箱式</w:t>
      </w:r>
      <w:r>
        <w:rPr>
          <w:sz w:val="21"/>
        </w:rPr>
        <w:t>高压室、变电站</w:t>
      </w:r>
      <w:r>
        <w:rPr>
          <w:sz w:val="21"/>
        </w:rPr>
        <w:t>及改造低压配电房，高低压配电柜及</w:t>
      </w:r>
      <w:r>
        <w:rPr>
          <w:sz w:val="21"/>
        </w:rPr>
        <w:t>红线内外的市政管廊、</w:t>
      </w:r>
      <w:r>
        <w:rPr>
          <w:sz w:val="21"/>
        </w:rPr>
        <w:t>电缆沟和电缆敷设等。</w:t>
      </w:r>
    </w:p>
    <w:p>
      <w:pPr>
        <w:ind w:firstLine="420"/>
      </w:pPr>
      <w:r>
        <w:rPr>
          <w:sz w:val="21"/>
        </w:rPr>
        <w:t>②在供配电工程实施前期准备阶段、设计阶段、实施阶段、正式送电阶段，负责办理过程中涉及各相关主管部门的报批、报建、报验、专项检测、</w:t>
      </w:r>
      <w:r>
        <w:rPr>
          <w:sz w:val="21"/>
        </w:rPr>
        <w:t>中间验收、</w:t>
      </w:r>
      <w:r>
        <w:rPr>
          <w:sz w:val="21"/>
        </w:rPr>
        <w:t>调试和联合试运转、送电方案报审手续及沟通协调工作，并承担相关费用。</w:t>
      </w:r>
    </w:p>
    <w:p>
      <w:pPr>
        <w:ind w:firstLine="420"/>
      </w:pPr>
      <w:r>
        <w:rPr>
          <w:sz w:val="21"/>
        </w:rPr>
        <w:t>③确保供配电工程实施过程的安全文明施工；确保按时、按质、按量完成建设；确保按供电部门要求通过竣工验收，并达到送电要求。</w:t>
      </w:r>
    </w:p>
    <w:p>
      <w:pPr>
        <w:ind w:firstLine="420"/>
      </w:pPr>
      <w:r>
        <w:rPr>
          <w:sz w:val="21"/>
        </w:rPr>
        <w:t>④及时按要求组织项目建设结算及资料整理。</w:t>
      </w:r>
    </w:p>
    <w:p>
      <w:pPr>
        <w:ind w:firstLine="420"/>
      </w:pPr>
      <w:r>
        <w:rPr>
          <w:sz w:val="21"/>
        </w:rPr>
        <w:t>⑤质保期售后服务。</w:t>
      </w:r>
    </w:p>
    <w:p>
      <w:pPr>
        <w:ind w:firstLine="420"/>
      </w:pPr>
      <w:r>
        <w:rPr>
          <w:sz w:val="21"/>
        </w:rPr>
        <w:t>⑥运行维护管理。具备突发设备故障的抢修能力，并配置专业团队人员（持有高压进网作业许可证或特种作业操作证）</w:t>
      </w:r>
      <w:r>
        <w:rPr>
          <w:sz w:val="21"/>
        </w:rPr>
        <w:t>。</w:t>
      </w:r>
    </w:p>
    <w:p>
      <w:r>
        <w:rPr>
          <w:sz w:val="21"/>
        </w:rPr>
        <w:t>2、其它：</w:t>
      </w:r>
    </w:p>
    <w:p>
      <w:pPr>
        <w:ind w:firstLine="422"/>
      </w:pPr>
      <w:r>
        <w:rPr>
          <w:b/>
          <w:sz w:val="21"/>
        </w:rPr>
        <w:t>2.1、本项目含低压配电房改造，拆除的现有设备，拆除设备应考虑保护性拆除，拆除后搬运至采购人指定地点，统一移交采购人。</w:t>
      </w:r>
    </w:p>
    <w:p>
      <w:pPr>
        <w:ind w:firstLine="422"/>
      </w:pPr>
      <w:r>
        <w:rPr>
          <w:b/>
          <w:sz w:val="21"/>
        </w:rPr>
        <w:t>2.2、本项目施工完成后供电转换方案，需报采购人审批同意后实施；供电转换考虑租用柴油发电车，满足转换时医院用电需求。</w:t>
      </w:r>
    </w:p>
    <w:p>
      <w:pPr>
        <w:ind w:firstLine="422"/>
      </w:pPr>
      <w:r>
        <w:rPr>
          <w:b/>
          <w:sz w:val="21"/>
        </w:rPr>
        <w:t>2.3、本项目已取得广州市海珠区用电咨询服务答复书。</w:t>
      </w:r>
    </w:p>
    <w:p>
      <w:pPr>
        <w:ind w:firstLine="422"/>
      </w:pPr>
      <w:r>
        <w:rPr>
          <w:b/>
          <w:sz w:val="21"/>
        </w:rPr>
        <w:t>2.4、项目红线外的交通安全维护设施费、道路交通疏导费、临时占用道路费、永久管线标志设置费等，与本项目相关的室外路由施工的所有费用由供应商在响应报价中考虑。</w:t>
      </w:r>
    </w:p>
    <w:p>
      <w:pPr>
        <w:ind w:firstLine="422"/>
      </w:pPr>
      <w:r>
        <w:rPr>
          <w:b/>
          <w:sz w:val="21"/>
        </w:rPr>
        <w:t>2.5、本项目因改造期间医院正常运营，供应商应考虑施工期间的施工安全、动火作业安全。</w:t>
      </w:r>
    </w:p>
    <w:p>
      <w:pPr>
        <w:ind w:firstLine="422"/>
      </w:pPr>
      <w:r>
        <w:rPr>
          <w:b/>
          <w:sz w:val="21"/>
        </w:rPr>
        <w:t>2.6、本项目的高可靠性供电费用由采购人自行缴纳。</w:t>
      </w:r>
    </w:p>
    <w:p>
      <w:pPr>
        <w:ind w:firstLine="420"/>
        <w:jc w:val="both"/>
      </w:pPr>
      <w:r>
        <w:rPr>
          <w:sz w:val="21"/>
        </w:rPr>
        <w:t>具体以</w:t>
      </w:r>
      <w:r>
        <w:rPr>
          <w:sz w:val="21"/>
        </w:rPr>
        <w:t>采购</w:t>
      </w:r>
      <w:r>
        <w:rPr>
          <w:sz w:val="21"/>
        </w:rPr>
        <w:t>文件、</w:t>
      </w:r>
      <w:r>
        <w:rPr>
          <w:sz w:val="21"/>
        </w:rPr>
        <w:t>施工</w:t>
      </w:r>
      <w:r>
        <w:rPr>
          <w:sz w:val="21"/>
        </w:rPr>
        <w:t>图纸、</w:t>
      </w:r>
      <w:r>
        <w:rPr>
          <w:sz w:val="21"/>
        </w:rPr>
        <w:t>设备技术参数要求、</w:t>
      </w:r>
      <w:r>
        <w:rPr>
          <w:sz w:val="21"/>
        </w:rPr>
        <w:t>工程量清单及相关资料说明、《用电咨询服务答复书》为准。</w:t>
      </w:r>
    </w:p>
    <w:p/>
    <w:p>
      <w:pPr>
        <w:ind w:firstLine="480"/>
      </w:pPr>
    </w:p>
    <w:p/>
    <w:p>
      <w:r>
        <w:rPr/>
        <w:t>采购包1（电力增容工程）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工期由采购人发出开工令之日计算，至工程竣工验收合格之日止，总工期：120日历天。实际工期采购人有权根据项目现场具体情况作适当调整。</w:t>
            </w:r>
          </w:p>
        </w:tc>
      </w:tr>
      <w:tr>
        <w:tc>
          <w:tcPr>
            <w:tcW w:type="dxa" w:w="4153"/>
          </w:tcPr>
          <w:p>
            <w:r>
              <w:rPr/>
              <w:t>标的提供的地点</w:t>
            </w:r>
          </w:p>
        </w:tc>
        <w:tc>
          <w:tcPr>
            <w:tcW w:type="dxa" w:w="4153"/>
          </w:tcPr>
          <w:p/>
          <w:p>
            <w:r>
              <w:rPr/>
              <w:t>广州市海珠区江南中街</w:t>
            </w:r>
          </w:p>
        </w:tc>
      </w:tr>
      <w:tr>
        <w:tc>
          <w:tcPr>
            <w:tcW w:type="dxa" w:w="4153"/>
          </w:tcPr>
          <w:p>
            <w:r>
              <w:rPr/>
              <w:t>付款方式</w:t>
            </w:r>
          </w:p>
        </w:tc>
        <w:tc>
          <w:tcPr>
            <w:tcW w:type="dxa" w:w="4153"/>
          </w:tcPr>
          <w:p/>
          <w:p/>
          <w:p>
            <w:r>
              <w:rPr/>
              <w:t>1期：支付比例20%,合同签订后，供应商向采购人提供合规的等额增值税普通发票，采购人在收到供应商履约保证金后按照内部程序提交财务审批，审批通过后及时支付合同款项，支付合同价（不含暂列金）的20%。</w:t>
            </w:r>
          </w:p>
          <w:p/>
          <w:p>
            <w:r>
              <w:rPr/>
              <w:t>2期：支付比例30%,完成红线外管廊施工、箱式高压及预装箱式变电站现场就位后，供应商向采购人提供合规的等额增值税普通发票，采购人按照内部程序提交财务审批，审批通过后及时支付合同款项，支付至累计合同价（不含暂列金）的50%。</w:t>
            </w:r>
          </w:p>
          <w:p/>
          <w:p>
            <w:r>
              <w:rPr/>
              <w:t>3期：支付比例35%,工程竣工验收合格后，供应商向采购人提供合规的等额增值税普通发票，采购人按照内部程序提交财务审批，审批通过后及时支付合同款项，支付至累计合同价（不含暂列金）的85%。</w:t>
            </w:r>
          </w:p>
          <w:p/>
          <w:p>
            <w:r>
              <w:rPr/>
              <w:t>4期：支付比例12%,工程结算审定后，供应商向采购人提供剩余结算金额100%的合规增值税普通发票，采购人按照内部程序提交财务审批，审批通过后及时支付合同款项，累计支付至结算价的97%。</w:t>
            </w:r>
          </w:p>
          <w:p/>
          <w:p>
            <w:r>
              <w:rPr/>
              <w:t>5期：支付比例3%,工程验收合格之日起满2年后供应商向采购人提供付款申请，扣除应扣除违约金及其他应扣款项（如有）后，采购人按照内部程序提交财务审批，审批通过后及时支付质保金。</w:t>
            </w:r>
          </w:p>
        </w:tc>
      </w:tr>
      <w:tr>
        <w:tc>
          <w:tcPr>
            <w:tcW w:type="dxa" w:w="4153"/>
          </w:tcPr>
          <w:p>
            <w:r>
              <w:rPr/>
              <w:t>验收要求</w:t>
            </w:r>
          </w:p>
        </w:tc>
        <w:tc>
          <w:tcPr>
            <w:tcW w:type="dxa" w:w="4153"/>
          </w:tcPr>
          <w:p/>
          <w:p/>
          <w:p/>
          <w:p>
            <w:r>
              <w:rPr/>
              <w:t>1期：（1）工程验收由采购人负责。经采购人、供应商、监理单位（若有）及设计单位、供电主管部门验收合格后签订工程验收合格证书。 （2）供应商在工程竣工验收时，应向采购人提供符合GB/T50328-01《建设工程文件归档整理规范》的要求规格编制成册的工程竣工图及有关技术档案资料一式两份。 （3）工程验收的标准按相关施工验收规范的规定执行。 （4）工程竣工验收的基本文件及记录如下： ①开工报告； ②图纸会审记录、设计变更通知和竣工图； ③主要材料、设备、成品、半成品和仪表的出厂合格证及进场检验报告（进口设备需提供报关单）； ④隐蔽工程验收记录； ⑤中间验收记录； ⑥设备单机试运转记录； ⑦系统无负荷联合试运转记录； ⑧分部（子分部）工程质量验收记录； ⑨观感质量综合检查记录； ⑩安全性和使用功能检验和综合性能检测记录和评定； ⑪系统使用说明与维护指引。</w:t>
            </w:r>
          </w:p>
        </w:tc>
      </w:tr>
      <w:tr>
        <w:tc>
          <w:tcPr>
            <w:tcW w:type="dxa" w:w="4153"/>
          </w:tcPr>
          <w:p>
            <w:r>
              <w:rPr/>
              <w:t>履约保证金</w:t>
            </w:r>
          </w:p>
        </w:tc>
        <w:tc>
          <w:tcPr>
            <w:tcW w:type="dxa" w:w="4153"/>
          </w:tcPr>
          <w:p/>
          <w:p/>
          <w:p/>
          <w:p/>
          <w:p>
            <w:r>
              <w:rPr/>
              <w:t>收取比例：5%,说明：（1）提交说明时间：合同签订之日起5日内； （2）金额：合同总金额（不含暂列金）的5%；采购人在收到履约保证金后向供应商出具履约保证金收款凭据（如供应商提供见索即付的银行履约保函，则采购人不开具收款凭据）。若供应商未按期向采购人缴纳履约保证金，采购人有权从首期工程款中扣除相应金额的款项； （3）方式：转账、见索即付的银行履约保函； （4）退还说明：履约担保的有效期，是从提供履约担保之日起至合同工程竣工验收合格之日止。工程竣工验收合格后，采购人在收到供应商提出退还申请的次月底内，将扣除供应商违约金及其它应扣款项（如有）后的剩余款项无息退还供应商。</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其他商务要求</w:t>
            </w:r>
          </w:p>
        </w:tc>
        <w:tc>
          <w:tcPr>
            <w:tcW w:type="dxa" w:w="2076"/>
          </w:tcPr>
          <w:p>
            <w:pPr>
              <w:jc w:val="left"/>
            </w:pPr>
            <w:r>
              <w:rPr/>
              <w:t>（1）项目工期及延期条件及要求 ★1.1工期要求：工期由采购人发出开工令之日计算，至工程竣工验收合格之日止，总工期：120日历天。实际工期采购人有权根据项目现场具体情况作适当调整。响应文件中提供承诺函（格式自定）。 1.2项目实施过程中，出现下列情形，经采购人确认，工期可以顺延: ①不可抗因素； ②由于设计变更，致使分部分项工程重大增加(超过总量的10%)。 1.3采购人欢迎各供应商根据自身实际情况提出缩短工期的响应文件。供应商因赶工而需要增加的费用应体现在报价中。 1.4因设计变更或非供应商原因造成的停电、停水、停气及不可抗力因素影响，导致停工8小时以上（一周内累计计算），由供应商在事发后24小时内出具工作联系函告知采购人，并提供足够证据予以证实，经采购人书面同意，工期可相应顺延。 （2）工程质量质保期 ★2.1质保期：2年。质保期自验收合格之日起计。售后服务电话响应时间要求7*24小时，现场响应时间要求不超过3小时，一般性问题解决时间要求不超过1个工作日。响应文件中提供承诺函（格式自定）。 2.2质保金：质保金为经双方确认的结算价的3%。质保金在质保期内不计息。 2.3质保期内因施工质量而造成的返修，其费用由供应商负责；供应商拒绝返修，采购人除保留追究权利以外，还有权另请第三方维修，产生的所有费用由供应商承担，且采购人有权从质保金中扣除相应款项，不足部分由供应商在三天内补足。 （3）工程款结算及拨付方式 3.1采购人确认的成交价（含暂列金额）定为合同价。本工程采用工程量清单报价，综合单价包干，绿色施工安全防护措施费及预算包干费总价包干。 3.2因采购人设计变更或采购文件、答疑会纪要中允许调整造价的工程内容，必须得到采购人的书面确认或签证，由供应商按响应文件中的标价编制办法编制变更部分的预(结)算书，送采购人及有关部门审查，确定合同价款的增减，变更造价随结算款项一并支付。 3.3供应商在签订合同之前，需向采购人提供与最终报价一致的预算文件。 3.4结算款需经甲方内部审计部门审定结算后付款。当结算审定时，结算价即合同价。 （4）其他要求 4.1供应商承诺同意采购方以任何形式对供应商的响应文件内容及采购方认为有必要的相关资料的真实性和有效性进行审查、验证。 ★4.2供应商须完全响应《设备技术参数要求》的内容，不作出响应或作出负偏离响应的，作无效报价处理。 ★4.3供应商须完全响应合同条款的内容，不作出响应或作出负偏离响应的，作无效报价处理。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其他电力系统安装</w:t>
            </w:r>
          </w:p>
        </w:tc>
        <w:tc>
          <w:tcPr>
            <w:tcW w:type="dxa" w:w="933"/>
          </w:tcPr>
          <w:p>
            <w:pPr>
              <w:jc w:val="left"/>
            </w:pPr>
            <w:r>
              <w:rPr/>
              <w:t>广州中医药大学第三附属医院骨伤科分院电力增容工程</w:t>
            </w:r>
          </w:p>
        </w:tc>
        <w:tc>
          <w:tcPr>
            <w:tcW w:type="dxa" w:w="933"/>
          </w:tcPr>
          <w:p>
            <w:pPr>
              <w:jc w:val="left"/>
            </w:pPr>
            <w:r>
              <w:rPr/>
              <w:t>项</w:t>
            </w:r>
          </w:p>
        </w:tc>
        <w:tc>
          <w:tcPr>
            <w:tcW w:type="dxa" w:w="933"/>
          </w:tcPr>
          <w:p>
            <w:pPr>
              <w:jc w:val="right"/>
            </w:pPr>
            <w:r>
              <w:rPr/>
              <w:t>1.00</w:t>
            </w:r>
          </w:p>
        </w:tc>
        <w:tc>
          <w:tcPr>
            <w:tcW w:type="dxa" w:w="933"/>
          </w:tcPr>
          <w:p>
            <w:pPr>
              <w:jc w:val="right"/>
            </w:pPr>
            <w:r>
              <w:rPr/>
              <w:t>2,500,000.00</w:t>
            </w:r>
          </w:p>
        </w:tc>
        <w:tc>
          <w:tcPr>
            <w:tcW w:type="dxa" w:w="933"/>
          </w:tcPr>
          <w:p>
            <w:pPr>
              <w:jc w:val="right"/>
            </w:pPr>
            <w:r>
              <w:rPr/>
              <w:t>2,500,000.00</w:t>
            </w:r>
          </w:p>
        </w:tc>
        <w:tc>
          <w:tcPr>
            <w:tcW w:type="dxa" w:w="840"/>
          </w:tcPr>
          <w:p>
            <w:r>
              <w:rPr/>
              <w:t>工业</w:t>
            </w:r>
          </w:p>
        </w:tc>
        <w:tc>
          <w:tcPr>
            <w:tcW w:type="dxa" w:w="933"/>
          </w:tcPr>
          <w:p>
            <w:r>
              <w:rPr/>
              <w:t>详见附表一</w:t>
            </w:r>
          </w:p>
        </w:tc>
      </w:tr>
    </w:tbl>
    <w:p/>
    <w:p>
      <w:r>
        <w:rPr>
          <w:b/>
        </w:rPr>
        <w:t>附表</w:t>
      </w:r>
      <w:r>
        <w:rPr>
          <w:b/>
        </w:rPr>
        <w:t>一</w:t>
      </w:r>
      <w:r>
        <w:rPr>
          <w:b/>
        </w:rPr>
        <w:t>：</w:t>
      </w:r>
      <w:r>
        <w:rPr>
          <w:b/>
        </w:rPr>
        <w:t>广州中医药大学第三附属医院骨伤科分院电力增容工程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项目现场施工条件</w:t>
            </w:r>
          </w:p>
          <w:p>
            <w:pPr>
              <w:jc w:val="both"/>
            </w:pPr>
            <w:r>
              <w:rPr>
                <w:sz w:val="21"/>
              </w:rPr>
              <w:t>1、施工范围的具体位置及可交付供应商施工安排的工程施工范围见后附图纸。</w:t>
            </w:r>
          </w:p>
          <w:p>
            <w:pPr>
              <w:jc w:val="both"/>
            </w:pPr>
            <w:r>
              <w:rPr>
                <w:sz w:val="21"/>
              </w:rPr>
              <w:t>2、供应商必须采取严格措施确保施工期间医院人员及病人的安全，并不对病人进行干扰。施工现场必须</w:t>
            </w:r>
            <w:r>
              <w:rPr>
                <w:sz w:val="21"/>
              </w:rPr>
              <w:t>分区域、分层</w:t>
            </w:r>
            <w:r>
              <w:rPr>
                <w:sz w:val="21"/>
              </w:rPr>
              <w:t>封闭，保护施工区域</w:t>
            </w:r>
            <w:r>
              <w:rPr>
                <w:sz w:val="21"/>
              </w:rPr>
              <w:t>内设施、设备</w:t>
            </w:r>
            <w:r>
              <w:rPr>
                <w:sz w:val="21"/>
              </w:rPr>
              <w:t>不受破损</w:t>
            </w:r>
            <w:r>
              <w:rPr>
                <w:sz w:val="21"/>
              </w:rPr>
              <w:t>及污染</w:t>
            </w:r>
            <w:r>
              <w:rPr>
                <w:sz w:val="21"/>
              </w:rPr>
              <w:t>，施工人员及材料运输应走</w:t>
            </w:r>
            <w:r>
              <w:rPr>
                <w:sz w:val="21"/>
              </w:rPr>
              <w:t>采购人指定的</w:t>
            </w:r>
            <w:r>
              <w:rPr>
                <w:sz w:val="21"/>
              </w:rPr>
              <w:t>专用通道。</w:t>
            </w:r>
          </w:p>
          <w:p>
            <w:pPr>
              <w:jc w:val="both"/>
            </w:pPr>
            <w:r>
              <w:rPr>
                <w:sz w:val="21"/>
              </w:rPr>
              <w:t>3、采购人施工现场不提供施工人员办公场地及住宿场地，由供应商自行解决，相关费用已包含在响应报价中。</w:t>
            </w:r>
          </w:p>
          <w:p>
            <w:pPr>
              <w:jc w:val="both"/>
            </w:pPr>
            <w:r>
              <w:rPr>
                <w:sz w:val="21"/>
              </w:rPr>
              <w:t>4、</w:t>
            </w:r>
            <w:r>
              <w:rPr>
                <w:sz w:val="21"/>
              </w:rPr>
              <w:t>供应商负责从采购人指定的水、电接驳口接驳，安装独立的水表、电表，相应的设备及管线安装及拆除费用由供应商承担，相关费用已包含在响应报价中。在施工结束、竣工验收并撤表后，供应商于十五天内将水电费缴纳至采购人指定银行账户。</w:t>
            </w:r>
          </w:p>
          <w:p>
            <w:pPr>
              <w:jc w:val="both"/>
            </w:pPr>
          </w:p>
          <w:p>
            <w:pPr>
              <w:jc w:val="both"/>
            </w:pPr>
            <w:r>
              <w:rPr>
                <w:b/>
                <w:sz w:val="21"/>
              </w:rPr>
              <w:t>二、</w:t>
            </w:r>
            <w:r>
              <w:rPr>
                <w:b/>
                <w:sz w:val="21"/>
              </w:rPr>
              <w:t>项目要求</w:t>
            </w:r>
          </w:p>
          <w:p>
            <w:pPr>
              <w:jc w:val="both"/>
            </w:pPr>
            <w:r>
              <w:rPr>
                <w:b/>
                <w:sz w:val="21"/>
              </w:rPr>
              <w:t>1、基本要求</w:t>
            </w:r>
          </w:p>
          <w:p>
            <w:pPr>
              <w:jc w:val="both"/>
            </w:pPr>
            <w:r>
              <w:rPr>
                <w:sz w:val="21"/>
              </w:rPr>
              <w:t>1.1</w:t>
            </w:r>
            <w:r>
              <w:rPr>
                <w:sz w:val="21"/>
              </w:rPr>
              <w:t>项目范围：以采购文件、</w:t>
            </w:r>
            <w:r>
              <w:rPr>
                <w:sz w:val="21"/>
              </w:rPr>
              <w:t>施工</w:t>
            </w:r>
            <w:r>
              <w:rPr>
                <w:sz w:val="21"/>
              </w:rPr>
              <w:t>图纸、设备技术参数要求、工程量清单及相关资料说明、《用电咨询服务答复书》为准</w:t>
            </w:r>
            <w:r>
              <w:rPr>
                <w:b/>
                <w:sz w:val="21"/>
              </w:rPr>
              <w:t>（采购人有可能根据实际情况调整施工范围，供应商须无条件接受）</w:t>
            </w:r>
            <w:r>
              <w:rPr>
                <w:sz w:val="21"/>
              </w:rPr>
              <w:t>。</w:t>
            </w:r>
          </w:p>
          <w:p>
            <w:pPr>
              <w:jc w:val="both"/>
            </w:pPr>
            <w:r>
              <w:rPr>
                <w:sz w:val="21"/>
              </w:rPr>
              <w:t>1.2</w:t>
            </w:r>
            <w:r>
              <w:rPr>
                <w:sz w:val="21"/>
              </w:rPr>
              <w:t>承包方式：</w:t>
            </w:r>
            <w:r>
              <w:rPr>
                <w:sz w:val="21"/>
              </w:rPr>
              <w:t>供应商</w:t>
            </w:r>
            <w:r>
              <w:rPr>
                <w:sz w:val="21"/>
              </w:rPr>
              <w:t>根据</w:t>
            </w:r>
            <w:r>
              <w:rPr>
                <w:sz w:val="21"/>
              </w:rPr>
              <w:t>采购</w:t>
            </w:r>
            <w:r>
              <w:rPr>
                <w:sz w:val="21"/>
              </w:rPr>
              <w:t>文件、</w:t>
            </w:r>
            <w:r>
              <w:rPr>
                <w:sz w:val="21"/>
              </w:rPr>
              <w:t>施工</w:t>
            </w:r>
            <w:r>
              <w:rPr>
                <w:sz w:val="21"/>
              </w:rPr>
              <w:t>图纸、</w:t>
            </w:r>
            <w:r>
              <w:rPr>
                <w:sz w:val="21"/>
              </w:rPr>
              <w:t>设备技术参数要求、</w:t>
            </w:r>
            <w:r>
              <w:rPr>
                <w:sz w:val="21"/>
              </w:rPr>
              <w:t>有关资料及说明，按工程量清单进行报价，</w:t>
            </w:r>
            <w:r>
              <w:rPr>
                <w:sz w:val="21"/>
              </w:rPr>
              <w:t>配合</w:t>
            </w:r>
            <w:r>
              <w:rPr>
                <w:sz w:val="21"/>
              </w:rPr>
              <w:t>深化设计服务、包各种协调服务，包送电方案，包向供电部门报装报建工作、配合供电部门的审图及报供电部门的其他审批手续及其费用，包向公安、市政、规划等各部门办理相应的电缆沟、市政路面开挖的报批等相关手续，包红线内、外相应的市政管廊、电缆沟的入廊协调工作及所有相关费用，包路面</w:t>
            </w:r>
            <w:r>
              <w:rPr>
                <w:sz w:val="21"/>
              </w:rPr>
              <w:t>开挖及</w:t>
            </w:r>
            <w:r>
              <w:rPr>
                <w:sz w:val="21"/>
              </w:rPr>
              <w:t>修复、路面下穿管施工，包工、包材料、包工期、包质量、包安全生产、包文明施工、包调试和联合调试，包</w:t>
            </w:r>
            <w:r>
              <w:rPr>
                <w:sz w:val="21"/>
              </w:rPr>
              <w:t>施工</w:t>
            </w:r>
            <w:r>
              <w:rPr>
                <w:sz w:val="21"/>
              </w:rPr>
              <w:t>范围内工程竣工验收、包供电局送电前专项检测验收并送电，包移交，包结算的组织和资料整理、包承包人应当购买的保险、包竣工图编制（须满足规划等各专项验收要求）等。</w:t>
            </w:r>
            <w:r>
              <w:rPr>
                <w:sz w:val="21"/>
              </w:rPr>
              <w:t>完成后，负责编制竣工文件</w:t>
            </w:r>
            <w:r>
              <w:rPr>
                <w:sz w:val="21"/>
              </w:rPr>
              <w:t>。</w:t>
            </w:r>
          </w:p>
          <w:p>
            <w:pPr>
              <w:jc w:val="both"/>
            </w:pPr>
            <w:r>
              <w:rPr>
                <w:sz w:val="21"/>
              </w:rPr>
              <w:t>1.3</w:t>
            </w:r>
            <w:r>
              <w:rPr>
                <w:sz w:val="21"/>
              </w:rPr>
              <w:t>供应商应按采购人所提供的施工图纸包括</w:t>
            </w:r>
            <w:r>
              <w:rPr>
                <w:b/>
                <w:sz w:val="21"/>
              </w:rPr>
              <w:t>土建装饰</w:t>
            </w:r>
            <w:r>
              <w:rPr>
                <w:b/>
                <w:sz w:val="21"/>
              </w:rPr>
              <w:t>工程、</w:t>
            </w:r>
            <w:r>
              <w:rPr>
                <w:b/>
                <w:sz w:val="21"/>
              </w:rPr>
              <w:t>安装工程</w:t>
            </w:r>
            <w:r>
              <w:rPr>
                <w:b/>
                <w:sz w:val="21"/>
              </w:rPr>
              <w:t>、</w:t>
            </w:r>
            <w:r>
              <w:rPr>
                <w:b/>
                <w:sz w:val="21"/>
              </w:rPr>
              <w:t>市政工程、</w:t>
            </w:r>
            <w:r>
              <w:rPr>
                <w:b/>
                <w:sz w:val="21"/>
              </w:rPr>
              <w:t>拆除</w:t>
            </w:r>
            <w:r>
              <w:rPr>
                <w:b/>
                <w:sz w:val="21"/>
              </w:rPr>
              <w:t>工程</w:t>
            </w:r>
            <w:r>
              <w:rPr>
                <w:b/>
                <w:sz w:val="21"/>
              </w:rPr>
              <w:t>等</w:t>
            </w:r>
            <w:r>
              <w:rPr>
                <w:sz w:val="21"/>
              </w:rPr>
              <w:t>，涉及本项目的设备材料制造、运输、保险、仓储、安装、调试验收、培训、质保期保障</w:t>
            </w:r>
            <w:r>
              <w:rPr>
                <w:sz w:val="21"/>
              </w:rPr>
              <w:t>、</w:t>
            </w:r>
            <w:r>
              <w:rPr>
                <w:sz w:val="21"/>
              </w:rPr>
              <w:t>配合服务</w:t>
            </w:r>
            <w:r>
              <w:rPr>
                <w:sz w:val="21"/>
              </w:rPr>
              <w:t>及其它相关服务等所有的内容进行</w:t>
            </w:r>
            <w:r>
              <w:rPr>
                <w:sz w:val="21"/>
              </w:rPr>
              <w:t>报价</w:t>
            </w:r>
            <w:r>
              <w:rPr>
                <w:sz w:val="21"/>
              </w:rPr>
              <w:t>，不允许只对部分内容进行</w:t>
            </w:r>
            <w:r>
              <w:rPr>
                <w:sz w:val="21"/>
              </w:rPr>
              <w:t>报价</w:t>
            </w:r>
            <w:r>
              <w:rPr>
                <w:sz w:val="21"/>
              </w:rPr>
              <w:t>。</w:t>
            </w:r>
            <w:r>
              <w:rPr>
                <w:sz w:val="21"/>
              </w:rPr>
              <w:t>响应</w:t>
            </w:r>
            <w:r>
              <w:rPr>
                <w:sz w:val="21"/>
              </w:rPr>
              <w:t>价格应包括</w:t>
            </w:r>
            <w:r>
              <w:rPr>
                <w:sz w:val="21"/>
              </w:rPr>
              <w:t>：</w:t>
            </w:r>
          </w:p>
          <w:p>
            <w:pPr>
              <w:ind w:firstLine="420"/>
              <w:jc w:val="both"/>
            </w:pPr>
            <w:r>
              <w:rPr>
                <w:sz w:val="21"/>
              </w:rPr>
              <w:t>1.</w:t>
            </w:r>
            <w:r>
              <w:rPr>
                <w:sz w:val="21"/>
              </w:rPr>
              <w:t>3.1范围内材料</w:t>
            </w:r>
            <w:r>
              <w:rPr>
                <w:sz w:val="21"/>
              </w:rPr>
              <w:t>、</w:t>
            </w:r>
            <w:r>
              <w:rPr>
                <w:sz w:val="21"/>
              </w:rPr>
              <w:t>设备</w:t>
            </w:r>
            <w:r>
              <w:rPr>
                <w:sz w:val="21"/>
              </w:rPr>
              <w:t>的采购、施工和安装、运输、质保期售后服务、人工费用、</w:t>
            </w:r>
            <w:r>
              <w:rPr>
                <w:sz w:val="21"/>
              </w:rPr>
              <w:t>机械费、</w:t>
            </w:r>
            <w:r>
              <w:rPr>
                <w:sz w:val="21"/>
              </w:rPr>
              <w:t>管理费</w:t>
            </w:r>
            <w:r>
              <w:rPr>
                <w:sz w:val="21"/>
              </w:rPr>
              <w:t>、</w:t>
            </w:r>
            <w:r>
              <w:rPr>
                <w:sz w:val="21"/>
              </w:rPr>
              <w:t>利润、措施费、税金、材料设备的市场涨价风险等</w:t>
            </w:r>
            <w:r>
              <w:rPr>
                <w:sz w:val="21"/>
              </w:rPr>
              <w:t>项目</w:t>
            </w:r>
            <w:r>
              <w:rPr>
                <w:sz w:val="21"/>
              </w:rPr>
              <w:t>实施过程中应预见和不可预见费用等（包括安装过程中损耗、额外材料等）。所有价格均应以人民币报价，金额单位为元</w:t>
            </w:r>
            <w:r>
              <w:rPr>
                <w:sz w:val="21"/>
              </w:rPr>
              <w:t>。</w:t>
            </w:r>
          </w:p>
          <w:p>
            <w:pPr>
              <w:ind w:firstLine="420"/>
              <w:jc w:val="both"/>
            </w:pPr>
            <w:r>
              <w:rPr>
                <w:sz w:val="21"/>
              </w:rPr>
              <w:t>1.</w:t>
            </w:r>
            <w:r>
              <w:rPr>
                <w:sz w:val="21"/>
              </w:rPr>
              <w:t>3.</w:t>
            </w:r>
            <w:r>
              <w:rPr>
                <w:sz w:val="21"/>
              </w:rPr>
              <w:t>2</w:t>
            </w:r>
            <w:r>
              <w:rPr>
                <w:sz w:val="21"/>
              </w:rPr>
              <w:t>按规定需完成的质量</w:t>
            </w:r>
            <w:r>
              <w:rPr>
                <w:sz w:val="21"/>
              </w:rPr>
              <w:t>质保期</w:t>
            </w:r>
            <w:r>
              <w:rPr>
                <w:sz w:val="21"/>
              </w:rPr>
              <w:t>内的相关费用；</w:t>
            </w:r>
          </w:p>
          <w:p>
            <w:pPr>
              <w:ind w:firstLine="420"/>
              <w:jc w:val="both"/>
            </w:pPr>
            <w:r>
              <w:rPr>
                <w:sz w:val="21"/>
              </w:rPr>
              <w:t>1.</w:t>
            </w:r>
            <w:r>
              <w:rPr>
                <w:sz w:val="21"/>
              </w:rPr>
              <w:t>3.</w:t>
            </w:r>
            <w:r>
              <w:rPr>
                <w:sz w:val="21"/>
              </w:rPr>
              <w:t>3</w:t>
            </w:r>
            <w:r>
              <w:rPr>
                <w:sz w:val="21"/>
              </w:rPr>
              <w:t>报价方式：</w:t>
            </w:r>
          </w:p>
          <w:p>
            <w:pPr>
              <w:ind w:firstLine="420"/>
              <w:jc w:val="both"/>
            </w:pPr>
            <w:r>
              <w:rPr>
                <w:sz w:val="21"/>
              </w:rPr>
              <w:t>1.3.</w:t>
            </w:r>
            <w:r>
              <w:rPr>
                <w:sz w:val="21"/>
              </w:rPr>
              <w:t>3</w:t>
            </w:r>
            <w:r>
              <w:rPr>
                <w:sz w:val="21"/>
              </w:rPr>
              <w:t>.1、工程量清单报价，综合单价包干，工程量按实结算</w:t>
            </w:r>
            <w:r>
              <w:rPr>
                <w:sz w:val="21"/>
              </w:rPr>
              <w:t>，</w:t>
            </w:r>
            <w:r>
              <w:rPr>
                <w:sz w:val="21"/>
              </w:rPr>
              <w:t>绿色施工安全防护措施费</w:t>
            </w:r>
            <w:r>
              <w:rPr>
                <w:sz w:val="21"/>
              </w:rPr>
              <w:t>及预算包干费总价包干</w:t>
            </w:r>
            <w:r>
              <w:rPr>
                <w:sz w:val="21"/>
              </w:rPr>
              <w:t>，未提及的其他任何费用均不计取。（综合单价包干：指完成工程量清单中一个规定计量单位按照图纸要求完成所有工作内容所需的人工费、材料费、机械使用费、管理费、利润和</w:t>
            </w:r>
            <w:r>
              <w:rPr>
                <w:sz w:val="21"/>
              </w:rPr>
              <w:t>供应商</w:t>
            </w:r>
            <w:r>
              <w:rPr>
                <w:sz w:val="21"/>
              </w:rPr>
              <w:t>为完成该项工作而产生的其他费用并考虑风险因素。</w:t>
            </w:r>
            <w:r>
              <w:rPr>
                <w:sz w:val="21"/>
              </w:rPr>
              <w:t>本项目</w:t>
            </w:r>
            <w:r>
              <w:rPr>
                <w:sz w:val="21"/>
              </w:rPr>
              <w:t>约定的综合单价包干在任何情况下不调整（明文另有规定可调增或调减的除外）。）如果工程结算价超过合同价，则以合同价作为结算价。</w:t>
            </w:r>
          </w:p>
          <w:p>
            <w:pPr>
              <w:ind w:firstLine="420"/>
              <w:jc w:val="both"/>
            </w:pPr>
            <w:r>
              <w:rPr>
                <w:sz w:val="21"/>
              </w:rPr>
              <w:t>供应商要变更设计方案，须经本工程设计单位和采购人确认，并经施工图会审后方可施工。因供应商修改而导致的变更、工程量增加，最终导致本项目结算费用超过合同价的，结算时以合同价作为结算价，供应商应充分考虑上述风险因素。</w:t>
            </w:r>
            <w:r>
              <w:rPr>
                <w:sz w:val="21"/>
              </w:rPr>
              <w:t>且</w:t>
            </w:r>
            <w:r>
              <w:rPr>
                <w:sz w:val="21"/>
              </w:rPr>
              <w:t>因供应商深化设计缺陷而使采购人提出修改的工程量增加不予调整总价。</w:t>
            </w:r>
          </w:p>
          <w:p>
            <w:pPr>
              <w:ind w:firstLine="420"/>
              <w:jc w:val="both"/>
            </w:pPr>
            <w:r>
              <w:rPr>
                <w:sz w:val="21"/>
              </w:rPr>
              <w:t>在施工过程中，因采购人提出修改所发生的工程量增减按工程量清单报价相应增减，增减部分不涉及已订购设备的按工程量清单报价增减，涉及已订购设备的双方另行协商。如遇到工程变更，供应商</w:t>
            </w:r>
            <w:r>
              <w:rPr>
                <w:sz w:val="21"/>
              </w:rPr>
              <w:t>在施工前对变更内容进行费用估算，并报采购人审核；施工过程中</w:t>
            </w:r>
            <w:r>
              <w:rPr>
                <w:sz w:val="21"/>
              </w:rPr>
              <w:t>做好工程量记录，</w:t>
            </w:r>
            <w:r>
              <w:rPr>
                <w:sz w:val="21"/>
              </w:rPr>
              <w:t>并</w:t>
            </w:r>
            <w:r>
              <w:rPr>
                <w:sz w:val="21"/>
              </w:rPr>
              <w:t>办理</w:t>
            </w:r>
            <w:r>
              <w:rPr>
                <w:sz w:val="21"/>
              </w:rPr>
              <w:t>工程签证单</w:t>
            </w:r>
            <w:r>
              <w:rPr>
                <w:sz w:val="21"/>
              </w:rPr>
              <w:t>。待完工时，以采购人签认的现场签证为依据，以实际工程量进行</w:t>
            </w:r>
            <w:r>
              <w:rPr>
                <w:sz w:val="21"/>
              </w:rPr>
              <w:t>结算。采购人批准的增加工程、变更项目以及采购文件所附工程量清单中漏列的项目等视为新增项目，新增项目的结算原则如下：</w:t>
            </w:r>
          </w:p>
          <w:p>
            <w:pPr>
              <w:ind w:firstLine="420"/>
              <w:jc w:val="both"/>
            </w:pPr>
            <w:r>
              <w:rPr>
                <w:sz w:val="21"/>
              </w:rPr>
              <w:t>①工程量清单报价没有相同项目，但存在类似项目，按类似项目的综合单价对相应子目、消耗量、材料设备价格等进行调整换算。所换算材料及设备价格执行施工当期工程造价管理机构发布施工当期《广州地区建设工程常用材料税前综合价格》；施工当期《广州地区建设工程常用材料税前综合价格》没有的材料、设备单价，由</w:t>
            </w:r>
            <w:r>
              <w:rPr>
                <w:sz w:val="21"/>
              </w:rPr>
              <w:t>采购人</w:t>
            </w:r>
            <w:r>
              <w:rPr>
                <w:sz w:val="21"/>
              </w:rPr>
              <w:t>、监理单位（若有</w:t>
            </w:r>
            <w:r>
              <w:rPr>
                <w:sz w:val="21"/>
              </w:rPr>
              <w:t>)、</w:t>
            </w:r>
            <w:r>
              <w:rPr>
                <w:sz w:val="21"/>
              </w:rPr>
              <w:t>供应商</w:t>
            </w:r>
            <w:r>
              <w:rPr>
                <w:sz w:val="21"/>
              </w:rPr>
              <w:t>结合市场价共同协商确定。若工程量清单中存在多个类似项目的，取最有利于</w:t>
            </w:r>
            <w:r>
              <w:rPr>
                <w:sz w:val="21"/>
              </w:rPr>
              <w:t>采购人</w:t>
            </w:r>
            <w:r>
              <w:rPr>
                <w:sz w:val="21"/>
              </w:rPr>
              <w:t>的类似项目综合单价</w:t>
            </w:r>
            <w:r>
              <w:rPr>
                <w:sz w:val="21"/>
              </w:rPr>
              <w:t>。</w:t>
            </w:r>
          </w:p>
          <w:p>
            <w:pPr>
              <w:ind w:firstLine="420"/>
              <w:jc w:val="both"/>
            </w:pPr>
            <w:r>
              <w:rPr>
                <w:sz w:val="21"/>
              </w:rPr>
              <w:t>②工程量清单报价中既没有相同也没有类似项目的，采用清单计价法，执行《建设工程工程量清单计价规范 》（GB50500-2013），并按以下方式进行计算：</w:t>
            </w:r>
          </w:p>
          <w:p>
            <w:pPr>
              <w:ind w:firstLine="420"/>
              <w:jc w:val="both"/>
            </w:pPr>
            <w:r>
              <w:rPr>
                <w:sz w:val="21"/>
              </w:rPr>
              <w:t>A、定额采用《广东省房屋建筑与装饰工程综合定额（2018年）》、《广东省通用安装工程综合定额（2018年）》、《广东省市政工程综合定额（2018年）》、《广东省园林绿化工程综合定额（2018年）》，及广东省与广州市有关补充规定、补充定额和有关计费的补充文件，下浮率为成交价相对于采购</w:t>
            </w:r>
            <w:r>
              <w:rPr>
                <w:sz w:val="21"/>
              </w:rPr>
              <w:t>最高</w:t>
            </w:r>
            <w:r>
              <w:rPr>
                <w:sz w:val="21"/>
              </w:rPr>
              <w:t>限价的下浮率（下浮率</w:t>
            </w:r>
            <w:r>
              <w:rPr>
                <w:sz w:val="21"/>
              </w:rPr>
              <w:t>=(采购</w:t>
            </w:r>
            <w:r>
              <w:rPr>
                <w:sz w:val="21"/>
              </w:rPr>
              <w:t>最高</w:t>
            </w:r>
            <w:r>
              <w:rPr>
                <w:sz w:val="21"/>
              </w:rPr>
              <w:t>限价</w:t>
            </w:r>
            <w:r>
              <w:rPr>
                <w:sz w:val="21"/>
              </w:rPr>
              <w:t>-成交价)/采购</w:t>
            </w:r>
            <w:r>
              <w:rPr>
                <w:sz w:val="21"/>
              </w:rPr>
              <w:t>最高</w:t>
            </w:r>
            <w:r>
              <w:rPr>
                <w:sz w:val="21"/>
              </w:rPr>
              <w:t>限价）。如没有相应定额的子目，则由</w:t>
            </w:r>
            <w:r>
              <w:rPr>
                <w:sz w:val="21"/>
              </w:rPr>
              <w:t>供应商</w:t>
            </w:r>
            <w:r>
              <w:rPr>
                <w:sz w:val="21"/>
              </w:rPr>
              <w:t>报给</w:t>
            </w:r>
            <w:r>
              <w:rPr>
                <w:sz w:val="21"/>
              </w:rPr>
              <w:t>采购人</w:t>
            </w:r>
            <w:r>
              <w:rPr>
                <w:sz w:val="21"/>
              </w:rPr>
              <w:t>审定。定额使用与</w:t>
            </w:r>
            <w:r>
              <w:rPr>
                <w:sz w:val="21"/>
              </w:rPr>
              <w:t>响应文件的</w:t>
            </w:r>
            <w:r>
              <w:rPr>
                <w:sz w:val="21"/>
              </w:rPr>
              <w:t>报价保持一致，施工期间发生变化不做调整。</w:t>
            </w:r>
          </w:p>
          <w:p>
            <w:pPr>
              <w:ind w:firstLine="420"/>
              <w:jc w:val="both"/>
            </w:pPr>
            <w:r>
              <w:rPr>
                <w:sz w:val="21"/>
              </w:rPr>
              <w:t>B、人工</w:t>
            </w:r>
            <w:r>
              <w:rPr>
                <w:sz w:val="21"/>
              </w:rPr>
              <w:t>单价根据</w:t>
            </w:r>
            <w:r>
              <w:rPr>
                <w:sz w:val="21"/>
              </w:rPr>
              <w:t>施工当期</w:t>
            </w:r>
            <w:r>
              <w:rPr>
                <w:sz w:val="21"/>
              </w:rPr>
              <w:t>《</w:t>
            </w:r>
            <w:r>
              <w:rPr>
                <w:sz w:val="21"/>
              </w:rPr>
              <w:t>广州市建设工程造价管理站</w:t>
            </w:r>
            <w:r>
              <w:rPr>
                <w:sz w:val="21"/>
              </w:rPr>
              <w:t>关于发布</w:t>
            </w:r>
            <w:r>
              <w:rPr>
                <w:sz w:val="21"/>
              </w:rPr>
              <w:t>20**年*月份</w:t>
            </w:r>
            <w:r>
              <w:rPr>
                <w:sz w:val="21"/>
              </w:rPr>
              <w:t>广州市建设工程价格信息及有关计价办法的通知》</w:t>
            </w:r>
            <w:r>
              <w:rPr>
                <w:sz w:val="21"/>
              </w:rPr>
              <w:t>的规定调整；材料价格执行</w:t>
            </w:r>
            <w:r>
              <w:rPr>
                <w:sz w:val="21"/>
              </w:rPr>
              <w:t>施工当期《广州地区建设工程常用材料税前综合价格》</w:t>
            </w:r>
            <w:r>
              <w:rPr>
                <w:sz w:val="21"/>
              </w:rPr>
              <w:t>，</w:t>
            </w:r>
            <w:r>
              <w:rPr>
                <w:sz w:val="21"/>
              </w:rPr>
              <w:t>信息价中</w:t>
            </w:r>
            <w:r>
              <w:rPr>
                <w:sz w:val="21"/>
              </w:rPr>
              <w:t>没有的材料价格，由</w:t>
            </w:r>
            <w:r>
              <w:rPr>
                <w:sz w:val="21"/>
              </w:rPr>
              <w:t>采购人</w:t>
            </w:r>
            <w:r>
              <w:rPr>
                <w:sz w:val="21"/>
              </w:rPr>
              <w:t>、监理人（若有）、</w:t>
            </w:r>
            <w:r>
              <w:rPr>
                <w:sz w:val="21"/>
              </w:rPr>
              <w:t>供应商</w:t>
            </w:r>
            <w:r>
              <w:rPr>
                <w:sz w:val="21"/>
              </w:rPr>
              <w:t>结合市场价共同协商确定，在</w:t>
            </w:r>
            <w:r>
              <w:rPr>
                <w:sz w:val="21"/>
              </w:rPr>
              <w:t>采购人</w:t>
            </w:r>
            <w:r>
              <w:rPr>
                <w:sz w:val="21"/>
              </w:rPr>
              <w:t>未</w:t>
            </w:r>
            <w:r>
              <w:rPr>
                <w:sz w:val="21"/>
              </w:rPr>
              <w:t>确认</w:t>
            </w:r>
            <w:r>
              <w:rPr>
                <w:sz w:val="21"/>
              </w:rPr>
              <w:t>具体的审核价前，</w:t>
            </w:r>
            <w:r>
              <w:rPr>
                <w:sz w:val="21"/>
              </w:rPr>
              <w:t>供应商</w:t>
            </w:r>
            <w:r>
              <w:rPr>
                <w:sz w:val="21"/>
              </w:rPr>
              <w:t>不得以任何理由作为停工或拖延施工为借口</w:t>
            </w:r>
            <w:r>
              <w:rPr>
                <w:sz w:val="21"/>
              </w:rPr>
              <w:t>，</w:t>
            </w:r>
            <w:r>
              <w:rPr>
                <w:sz w:val="21"/>
              </w:rPr>
              <w:t>若由此导致的工期延误，由</w:t>
            </w:r>
            <w:r>
              <w:rPr>
                <w:sz w:val="21"/>
              </w:rPr>
              <w:t>供应商</w:t>
            </w:r>
            <w:r>
              <w:rPr>
                <w:sz w:val="21"/>
              </w:rPr>
              <w:t>自行承担，并根据相应条款处以违约金。</w:t>
            </w:r>
          </w:p>
          <w:p>
            <w:pPr>
              <w:jc w:val="both"/>
            </w:pPr>
            <w:r>
              <w:rPr>
                <w:b/>
                <w:sz w:val="21"/>
              </w:rPr>
              <w:t>[本工程中施工当期指经</w:t>
            </w:r>
            <w:r>
              <w:rPr>
                <w:b/>
                <w:sz w:val="21"/>
              </w:rPr>
              <w:t>采购人</w:t>
            </w:r>
            <w:r>
              <w:rPr>
                <w:b/>
                <w:sz w:val="21"/>
              </w:rPr>
              <w:t>审批同意开工日期之月份</w:t>
            </w:r>
            <w:r>
              <w:rPr>
                <w:b/>
                <w:sz w:val="21"/>
              </w:rPr>
              <w:t>]</w:t>
            </w:r>
          </w:p>
          <w:p>
            <w:pPr>
              <w:ind w:firstLine="420"/>
              <w:jc w:val="both"/>
            </w:pPr>
            <w:r>
              <w:rPr>
                <w:sz w:val="21"/>
              </w:rPr>
              <w:t>1.3.</w:t>
            </w:r>
            <w:r>
              <w:rPr>
                <w:sz w:val="21"/>
              </w:rPr>
              <w:t>3</w:t>
            </w:r>
            <w:r>
              <w:rPr>
                <w:sz w:val="21"/>
              </w:rPr>
              <w:t>.2、供应商所报的单价在合同执行期间固定不变，成交单价除采购人要求的设计变更允许的调整范围外，其余不因市场价格变化、人员工资福利调整以及其它政策文件的下达而调整。</w:t>
            </w:r>
          </w:p>
          <w:p>
            <w:pPr>
              <w:ind w:firstLine="420"/>
              <w:jc w:val="both"/>
            </w:pPr>
            <w:r>
              <w:rPr>
                <w:sz w:val="21"/>
              </w:rPr>
              <w:t>1.3.</w:t>
            </w:r>
            <w:r>
              <w:rPr>
                <w:sz w:val="21"/>
              </w:rPr>
              <w:t>3</w:t>
            </w:r>
            <w:r>
              <w:rPr>
                <w:sz w:val="21"/>
              </w:rPr>
              <w:t>.3、在任何情况下，供应商提出的变更必须获得采购人的同意。</w:t>
            </w:r>
          </w:p>
          <w:p>
            <w:pPr>
              <w:ind w:firstLine="420"/>
              <w:jc w:val="both"/>
            </w:pPr>
            <w:r>
              <w:rPr>
                <w:sz w:val="21"/>
              </w:rPr>
              <w:t>★</w:t>
            </w:r>
            <w:r>
              <w:rPr>
                <w:sz w:val="21"/>
              </w:rPr>
              <w:t>1.</w:t>
            </w:r>
            <w:r>
              <w:rPr>
                <w:sz w:val="21"/>
              </w:rPr>
              <w:t>3.</w:t>
            </w:r>
            <w:r>
              <w:rPr>
                <w:sz w:val="21"/>
              </w:rPr>
              <w:t>4</w:t>
            </w:r>
            <w:r>
              <w:rPr>
                <w:sz w:val="21"/>
              </w:rPr>
              <w:t>本项目最高限价为人民币</w:t>
            </w:r>
            <w:r>
              <w:rPr>
                <w:sz w:val="21"/>
                <w:u w:val="single"/>
              </w:rPr>
              <w:t>2,038,456.54</w:t>
            </w:r>
            <w:r>
              <w:rPr>
                <w:sz w:val="21"/>
              </w:rPr>
              <w:t>元（</w:t>
            </w:r>
            <w:r>
              <w:rPr>
                <w:sz w:val="21"/>
              </w:rPr>
              <w:t>响应</w:t>
            </w:r>
            <w:r>
              <w:rPr>
                <w:sz w:val="21"/>
              </w:rPr>
              <w:t>报价高于最高限价的</w:t>
            </w:r>
            <w:r>
              <w:rPr>
                <w:sz w:val="21"/>
              </w:rPr>
              <w:t>响应</w:t>
            </w:r>
            <w:r>
              <w:rPr>
                <w:sz w:val="21"/>
              </w:rPr>
              <w:t>文件无效，其中绿色施工安全防护措施费</w:t>
            </w:r>
            <w:r>
              <w:rPr>
                <w:sz w:val="21"/>
              </w:rPr>
              <w:t>、</w:t>
            </w:r>
            <w:r>
              <w:rPr>
                <w:sz w:val="21"/>
              </w:rPr>
              <w:t>暂列金额</w:t>
            </w:r>
            <w:r>
              <w:rPr>
                <w:sz w:val="21"/>
              </w:rPr>
              <w:t>，不参与竞争</w:t>
            </w:r>
            <w:r>
              <w:rPr>
                <w:sz w:val="21"/>
              </w:rPr>
              <w:t>）</w:t>
            </w:r>
            <w:r>
              <w:rPr>
                <w:sz w:val="21"/>
              </w:rPr>
              <w:t>。</w:t>
            </w:r>
          </w:p>
          <w:p>
            <w:pPr>
              <w:ind w:firstLine="420"/>
              <w:jc w:val="both"/>
            </w:pPr>
            <w:r>
              <w:rPr>
                <w:sz w:val="21"/>
              </w:rPr>
              <w:t>★</w:t>
            </w:r>
            <w:r>
              <w:rPr>
                <w:sz w:val="21"/>
              </w:rPr>
              <w:t>1.</w:t>
            </w:r>
            <w:r>
              <w:rPr>
                <w:sz w:val="21"/>
              </w:rPr>
              <w:t>3.</w:t>
            </w:r>
            <w:r>
              <w:rPr>
                <w:sz w:val="21"/>
              </w:rPr>
              <w:t>5</w:t>
            </w:r>
            <w:r>
              <w:rPr>
                <w:sz w:val="21"/>
              </w:rPr>
              <w:t>本项目的绿色施工安全防护措施费为</w:t>
            </w:r>
            <w:r>
              <w:rPr>
                <w:sz w:val="21"/>
                <w:u w:val="single"/>
              </w:rPr>
              <w:t>78,718.49</w:t>
            </w:r>
            <w:r>
              <w:rPr>
                <w:sz w:val="21"/>
              </w:rPr>
              <w:t>元，暂列金</w:t>
            </w:r>
            <w:r>
              <w:rPr>
                <w:sz w:val="21"/>
              </w:rPr>
              <w:t>额</w:t>
            </w:r>
            <w:r>
              <w:rPr>
                <w:sz w:val="21"/>
                <w:u w:val="single"/>
              </w:rPr>
              <w:t>82,316.09</w:t>
            </w:r>
            <w:r>
              <w:rPr>
                <w:sz w:val="21"/>
              </w:rPr>
              <w:t>元，具体见下表。</w:t>
            </w:r>
          </w:p>
          <w:tbl>
            <w:tblPr>
              <w:tblBorders>
                <w:top w:val="none" w:color="000000" w:sz="4"/>
                <w:left w:val="none" w:color="000000" w:sz="4"/>
                <w:bottom w:val="none" w:color="000000" w:sz="4"/>
                <w:right w:val="none" w:color="000000" w:sz="4"/>
                <w:insideH w:val="none"/>
                <w:insideV w:val="none"/>
              </w:tblBorders>
            </w:tblPr>
            <w:tblGrid>
              <w:gridCol w:w="2407"/>
              <w:gridCol w:w="1748"/>
              <w:gridCol w:w="1432"/>
            </w:tblGrid>
            <w:tr>
              <w:tc>
                <w:tcPr>
                  <w:tcW w:type="dxa" w:w="2407"/>
                  <w:tcBorders>
                    <w:top w:val="single" w:color="000000" w:sz="4"/>
                    <w:left w:val="single" w:color="000000" w:sz="4"/>
                    <w:bottom w:val="single" w:color="000000" w:sz="4"/>
                    <w:right w:val="single" w:color="000000" w:sz="4"/>
                  </w:tcBorders>
                  <w:vAlign w:val="top"/>
                </w:tcPr>
                <w:p>
                  <w:pPr>
                    <w:jc w:val="center"/>
                  </w:pPr>
                  <w:r>
                    <w:rPr>
                      <w:sz w:val="21"/>
                    </w:rPr>
                    <w:t>项目内容</w:t>
                  </w:r>
                </w:p>
              </w:tc>
              <w:tc>
                <w:tcPr>
                  <w:tcW w:type="dxa" w:w="1748"/>
                  <w:tcBorders>
                    <w:top w:val="single" w:color="000000" w:sz="4"/>
                    <w:left w:val="none" w:color="000000" w:sz="4"/>
                    <w:bottom w:val="single" w:color="000000" w:sz="4"/>
                    <w:right w:val="single" w:color="000000" w:sz="4"/>
                  </w:tcBorders>
                  <w:vAlign w:val="top"/>
                </w:tcPr>
                <w:p>
                  <w:pPr>
                    <w:jc w:val="center"/>
                  </w:pPr>
                  <w:r>
                    <w:rPr>
                      <w:sz w:val="21"/>
                    </w:rPr>
                    <w:t>绿色施工安全防护措施费</w:t>
                  </w:r>
                  <w:r>
                    <w:rPr>
                      <w:sz w:val="21"/>
                    </w:rPr>
                    <w:t>（</w:t>
                  </w:r>
                  <w:r>
                    <w:rPr>
                      <w:sz w:val="21"/>
                    </w:rPr>
                    <w:t>税前</w:t>
                  </w:r>
                  <w:r>
                    <w:rPr>
                      <w:sz w:val="21"/>
                    </w:rPr>
                    <w:t>）</w:t>
                  </w:r>
                </w:p>
                <w:p>
                  <w:pPr>
                    <w:jc w:val="center"/>
                  </w:pPr>
                  <w:r>
                    <w:rPr>
                      <w:sz w:val="21"/>
                    </w:rPr>
                    <w:t>（元）</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暂列金额</w:t>
                  </w:r>
                  <w:r>
                    <w:rPr>
                      <w:sz w:val="21"/>
                    </w:rPr>
                    <w:t>（</w:t>
                  </w:r>
                  <w:r>
                    <w:rPr>
                      <w:sz w:val="21"/>
                    </w:rPr>
                    <w:t>税前</w:t>
                  </w:r>
                  <w:r>
                    <w:rPr>
                      <w:sz w:val="21"/>
                    </w:rPr>
                    <w:t>）</w:t>
                  </w:r>
                </w:p>
                <w:p>
                  <w:pPr>
                    <w:jc w:val="center"/>
                  </w:pPr>
                  <w:r>
                    <w:rPr>
                      <w:sz w:val="21"/>
                    </w:rPr>
                    <w:t>（元）</w:t>
                  </w:r>
                </w:p>
              </w:tc>
            </w:tr>
            <w:tr>
              <w:tc>
                <w:tcPr>
                  <w:tcW w:type="dxa" w:w="2407"/>
                  <w:tcBorders>
                    <w:top w:val="single" w:color="000000" w:sz="4"/>
                    <w:left w:val="single" w:color="000000" w:sz="4"/>
                    <w:bottom w:val="single" w:color="000000" w:sz="4"/>
                    <w:right w:val="single" w:color="000000" w:sz="4"/>
                  </w:tcBorders>
                  <w:vAlign w:val="top"/>
                </w:tcPr>
                <w:p>
                  <w:pPr>
                    <w:jc w:val="center"/>
                  </w:pPr>
                  <w:r>
                    <w:rPr>
                      <w:sz w:val="21"/>
                    </w:rPr>
                    <w:t>广州中医药大学第三附属医院骨伤科分院电力增容工程</w:t>
                  </w:r>
                  <w:r>
                    <w:rPr>
                      <w:sz w:val="21"/>
                    </w:rPr>
                    <w:t>-电气部分</w:t>
                  </w:r>
                </w:p>
              </w:tc>
              <w:tc>
                <w:tcPr>
                  <w:tcW w:type="dxa" w:w="1748"/>
                  <w:tcBorders>
                    <w:top w:val="single" w:color="000000" w:sz="4"/>
                    <w:left w:val="none" w:color="000000" w:sz="4"/>
                    <w:bottom w:val="single" w:color="000000" w:sz="4"/>
                    <w:right w:val="single" w:color="000000" w:sz="4"/>
                  </w:tcBorders>
                  <w:vAlign w:val="top"/>
                </w:tcPr>
                <w:p>
                  <w:pPr>
                    <w:jc w:val="center"/>
                  </w:pPr>
                  <w:r>
                    <w:rPr>
                      <w:sz w:val="21"/>
                    </w:rPr>
                    <w:t>27</w:t>
                  </w:r>
                  <w:r>
                    <w:rPr>
                      <w:sz w:val="21"/>
                    </w:rPr>
                    <w:t>,</w:t>
                  </w:r>
                  <w:r>
                    <w:rPr>
                      <w:sz w:val="21"/>
                    </w:rPr>
                    <w:t>269.11</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57</w:t>
                  </w:r>
                  <w:r>
                    <w:rPr>
                      <w:sz w:val="21"/>
                    </w:rPr>
                    <w:t>,</w:t>
                  </w:r>
                  <w:r>
                    <w:rPr>
                      <w:sz w:val="21"/>
                    </w:rPr>
                    <w:t>831.05</w:t>
                  </w:r>
                </w:p>
              </w:tc>
            </w:tr>
            <w:tr>
              <w:tc>
                <w:tcPr>
                  <w:tcW w:type="dxa" w:w="2407"/>
                  <w:tcBorders>
                    <w:top w:val="single" w:color="000000" w:sz="4"/>
                    <w:left w:val="single" w:color="000000" w:sz="4"/>
                    <w:bottom w:val="single" w:color="000000" w:sz="4"/>
                    <w:right w:val="single" w:color="000000" w:sz="4"/>
                  </w:tcBorders>
                  <w:vAlign w:val="top"/>
                </w:tcPr>
                <w:p>
                  <w:pPr>
                    <w:jc w:val="center"/>
                  </w:pPr>
                  <w:r>
                    <w:rPr>
                      <w:sz w:val="21"/>
                    </w:rPr>
                    <w:t>广州中医药大学第三附属医院骨伤科分院电力增容工程</w:t>
                  </w:r>
                  <w:r>
                    <w:rPr>
                      <w:sz w:val="21"/>
                    </w:rPr>
                    <w:t>-管廊部分</w:t>
                  </w:r>
                </w:p>
              </w:tc>
              <w:tc>
                <w:tcPr>
                  <w:tcW w:type="dxa" w:w="1748"/>
                  <w:tcBorders>
                    <w:top w:val="single" w:color="000000" w:sz="4"/>
                    <w:left w:val="none" w:color="000000" w:sz="4"/>
                    <w:bottom w:val="single" w:color="000000" w:sz="4"/>
                    <w:right w:val="single" w:color="000000" w:sz="4"/>
                  </w:tcBorders>
                  <w:vAlign w:val="top"/>
                </w:tcPr>
                <w:p>
                  <w:pPr>
                    <w:jc w:val="center"/>
                  </w:pPr>
                  <w:r>
                    <w:rPr>
                      <w:sz w:val="21"/>
                    </w:rPr>
                    <w:t>43</w:t>
                  </w:r>
                  <w:r>
                    <w:rPr>
                      <w:sz w:val="21"/>
                    </w:rPr>
                    <w:t>,</w:t>
                  </w:r>
                  <w:r>
                    <w:rPr>
                      <w:sz w:val="21"/>
                    </w:rPr>
                    <w:t>426.55</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21</w:t>
                  </w:r>
                  <w:r>
                    <w:rPr>
                      <w:sz w:val="21"/>
                    </w:rPr>
                    <w:t>,</w:t>
                  </w:r>
                  <w:r>
                    <w:rPr>
                      <w:sz w:val="21"/>
                    </w:rPr>
                    <w:t>540.13</w:t>
                  </w:r>
                </w:p>
              </w:tc>
            </w:tr>
            <w:tr>
              <w:tc>
                <w:tcPr>
                  <w:tcW w:type="dxa" w:w="2407"/>
                  <w:tcBorders>
                    <w:top w:val="single" w:color="000000" w:sz="4"/>
                    <w:left w:val="single" w:color="000000" w:sz="4"/>
                    <w:bottom w:val="single" w:color="000000" w:sz="4"/>
                    <w:right w:val="single" w:color="000000" w:sz="4"/>
                  </w:tcBorders>
                  <w:vAlign w:val="top"/>
                </w:tcPr>
                <w:p>
                  <w:pPr>
                    <w:jc w:val="center"/>
                  </w:pPr>
                  <w:r>
                    <w:rPr>
                      <w:sz w:val="21"/>
                    </w:rPr>
                    <w:t>广州中医药大学第三附属医院骨伤科分院电力增容工程</w:t>
                  </w:r>
                  <w:r>
                    <w:rPr>
                      <w:sz w:val="21"/>
                    </w:rPr>
                    <w:t>-电房部分</w:t>
                  </w:r>
                </w:p>
              </w:tc>
              <w:tc>
                <w:tcPr>
                  <w:tcW w:type="dxa" w:w="1748"/>
                  <w:tcBorders>
                    <w:top w:val="single" w:color="000000" w:sz="4"/>
                    <w:left w:val="none" w:color="000000" w:sz="4"/>
                    <w:bottom w:val="single" w:color="000000" w:sz="4"/>
                    <w:right w:val="single" w:color="000000" w:sz="4"/>
                  </w:tcBorders>
                  <w:vAlign w:val="top"/>
                </w:tcPr>
                <w:p>
                  <w:pPr>
                    <w:jc w:val="center"/>
                  </w:pPr>
                  <w:r>
                    <w:rPr>
                      <w:sz w:val="21"/>
                    </w:rPr>
                    <w:t>8</w:t>
                  </w:r>
                  <w:r>
                    <w:rPr>
                      <w:sz w:val="21"/>
                    </w:rPr>
                    <w:t>,</w:t>
                  </w:r>
                  <w:r>
                    <w:rPr>
                      <w:sz w:val="21"/>
                    </w:rPr>
                    <w:t>022.83</w:t>
                  </w:r>
                </w:p>
              </w:tc>
              <w:tc>
                <w:tcPr>
                  <w:tcW w:type="dxa" w:w="1432"/>
                  <w:tcBorders>
                    <w:top w:val="none" w:color="000000" w:sz="4"/>
                    <w:left w:val="none" w:color="000000" w:sz="4"/>
                    <w:bottom w:val="single" w:color="000000" w:sz="4"/>
                    <w:right w:val="single" w:color="000000" w:sz="4"/>
                  </w:tcBorders>
                  <w:vAlign w:val="top"/>
                </w:tcPr>
                <w:p>
                  <w:pPr>
                    <w:jc w:val="center"/>
                  </w:pPr>
                  <w:r>
                    <w:rPr>
                      <w:sz w:val="21"/>
                    </w:rPr>
                    <w:t>2</w:t>
                  </w:r>
                  <w:r>
                    <w:rPr>
                      <w:sz w:val="21"/>
                    </w:rPr>
                    <w:t>,</w:t>
                  </w:r>
                  <w:r>
                    <w:rPr>
                      <w:sz w:val="21"/>
                    </w:rPr>
                    <w:t>944.91</w:t>
                  </w:r>
                </w:p>
              </w:tc>
            </w:tr>
            <w:tr>
              <w:tc>
                <w:tcPr>
                  <w:tcW w:type="dxa" w:w="2407"/>
                  <w:tcBorders>
                    <w:top w:val="single" w:color="000000" w:sz="4"/>
                    <w:left w:val="single" w:color="000000" w:sz="4"/>
                    <w:bottom w:val="single" w:color="000000" w:sz="4"/>
                    <w:right w:val="single" w:color="000000" w:sz="4"/>
                  </w:tcBorders>
                  <w:vAlign w:val="top"/>
                </w:tcPr>
                <w:p>
                  <w:pPr>
                    <w:jc w:val="center"/>
                  </w:pPr>
                  <w:r>
                    <w:rPr>
                      <w:sz w:val="21"/>
                    </w:rPr>
                    <w:t>合计</w:t>
                  </w:r>
                </w:p>
              </w:tc>
              <w:tc>
                <w:tcPr>
                  <w:tcW w:type="dxa" w:w="1748"/>
                  <w:tcBorders>
                    <w:top w:val="single" w:color="000000" w:sz="4"/>
                    <w:left w:val="none" w:color="000000" w:sz="4"/>
                    <w:bottom w:val="single" w:color="000000" w:sz="4"/>
                    <w:right w:val="single" w:color="000000" w:sz="4"/>
                  </w:tcBorders>
                  <w:vAlign w:val="top"/>
                </w:tcPr>
                <w:p>
                  <w:pPr>
                    <w:jc w:val="center"/>
                  </w:pPr>
                  <w:r>
                    <w:rPr>
                      <w:sz w:val="21"/>
                    </w:rPr>
                    <w:t>78</w:t>
                  </w:r>
                  <w:r>
                    <w:rPr>
                      <w:sz w:val="21"/>
                    </w:rPr>
                    <w:t>,</w:t>
                  </w:r>
                  <w:r>
                    <w:rPr>
                      <w:sz w:val="21"/>
                    </w:rPr>
                    <w:t>718.49</w:t>
                  </w:r>
                </w:p>
              </w:tc>
              <w:tc>
                <w:tcPr>
                  <w:tcW w:type="dxa" w:w="1432"/>
                  <w:tcBorders>
                    <w:top w:val="none" w:color="000000" w:sz="4"/>
                    <w:left w:val="none" w:color="000000" w:sz="4"/>
                    <w:bottom w:val="single" w:color="000000" w:sz="4"/>
                    <w:right w:val="single" w:color="000000" w:sz="4"/>
                  </w:tcBorders>
                  <w:vAlign w:val="top"/>
                </w:tcPr>
                <w:p>
                  <w:pPr>
                    <w:jc w:val="center"/>
                  </w:pPr>
                  <w:r>
                    <w:rPr>
                      <w:sz w:val="21"/>
                    </w:rPr>
                    <w:t>82</w:t>
                  </w:r>
                  <w:r>
                    <w:rPr>
                      <w:sz w:val="21"/>
                    </w:rPr>
                    <w:t>,</w:t>
                  </w:r>
                  <w:r>
                    <w:rPr>
                      <w:sz w:val="21"/>
                    </w:rPr>
                    <w:t>316.09</w:t>
                  </w:r>
                </w:p>
              </w:tc>
            </w:tr>
          </w:tbl>
          <w:p>
            <w:pPr>
              <w:ind w:firstLine="420"/>
              <w:jc w:val="both"/>
            </w:pPr>
            <w:r>
              <w:rPr>
                <w:sz w:val="21"/>
              </w:rPr>
              <w:t>1.</w:t>
            </w:r>
            <w:r>
              <w:rPr>
                <w:sz w:val="21"/>
              </w:rPr>
              <w:t>3.</w:t>
            </w:r>
            <w:r>
              <w:rPr>
                <w:sz w:val="21"/>
              </w:rPr>
              <w:t>6</w:t>
            </w:r>
            <w:r>
              <w:rPr>
                <w:sz w:val="21"/>
              </w:rPr>
              <w:t>绿色施工须达到以下标准：</w:t>
            </w:r>
          </w:p>
          <w:p>
            <w:pPr>
              <w:jc w:val="both"/>
            </w:pPr>
            <w:r>
              <w:rPr>
                <w:b/>
                <w:sz w:val="21"/>
              </w:rPr>
              <w:t>《广东省住建厅绿色施工导则》</w:t>
            </w:r>
            <w:r>
              <w:rPr>
                <w:b/>
                <w:sz w:val="21"/>
              </w:rPr>
              <w:t>（粤建质〔</w:t>
            </w:r>
            <w:r>
              <w:rPr>
                <w:b/>
                <w:sz w:val="21"/>
              </w:rPr>
              <w:t>2016〕241号）</w:t>
            </w:r>
          </w:p>
          <w:p>
            <w:pPr>
              <w:jc w:val="both"/>
            </w:pPr>
            <w:r>
              <w:rPr>
                <w:b/>
                <w:sz w:val="21"/>
              </w:rPr>
              <w:t>《广东省住建厅关于建筑工程绿色施工的管理办法（暂行）》</w:t>
            </w:r>
            <w:r>
              <w:rPr>
                <w:b/>
                <w:sz w:val="21"/>
              </w:rPr>
              <w:t>（粤建质〔</w:t>
            </w:r>
            <w:r>
              <w:rPr>
                <w:b/>
                <w:sz w:val="21"/>
              </w:rPr>
              <w:t>2016〕242号）</w:t>
            </w:r>
          </w:p>
          <w:p>
            <w:pPr>
              <w:ind w:firstLine="422"/>
              <w:jc w:val="both"/>
            </w:pPr>
            <w:r>
              <w:rPr>
                <w:b/>
                <w:sz w:val="21"/>
              </w:rPr>
              <w:t>★</w:t>
            </w:r>
            <w:r>
              <w:rPr>
                <w:sz w:val="21"/>
              </w:rPr>
              <w:t>1.3.7</w:t>
            </w:r>
            <w:r>
              <w:rPr>
                <w:sz w:val="21"/>
              </w:rPr>
              <w:t>供应商提交响应文件里，需提供高低压柜、箱式变电站的组价文件（详见附件）。</w:t>
            </w:r>
          </w:p>
          <w:p>
            <w:pPr>
              <w:ind w:firstLine="422"/>
              <w:jc w:val="both"/>
            </w:pPr>
            <w:r>
              <w:rPr>
                <w:b/>
                <w:sz w:val="21"/>
              </w:rPr>
              <w:t>★</w:t>
            </w:r>
            <w:r>
              <w:rPr>
                <w:sz w:val="21"/>
              </w:rPr>
              <w:t>1.3.8</w:t>
            </w:r>
            <w:r>
              <w:rPr>
                <w:sz w:val="21"/>
              </w:rPr>
              <w:t>最终报价，如无特殊情况，磋商后的第二次报价即为最终报价，最终报价总价与初始报价总价的变化率同样适用于工程量清单中的所有报价（除绿色施工安全防护措施费、暂列金额、暂估价），即最终变化率＝（最终报价总价</w:t>
            </w:r>
            <w:r>
              <w:rPr>
                <w:sz w:val="21"/>
              </w:rPr>
              <w:t>-非竞争性费用）/（初始报价总价-非竞争性费用），其中非竞争性费用为绿色施工安全防护措施费、暂列金、暂估价。</w:t>
            </w:r>
          </w:p>
          <w:p>
            <w:pPr>
              <w:ind w:firstLine="420"/>
              <w:jc w:val="both"/>
            </w:pPr>
          </w:p>
          <w:p>
            <w:pPr>
              <w:ind w:firstLine="420"/>
              <w:jc w:val="both"/>
            </w:pPr>
            <w:r>
              <w:rPr>
                <w:sz w:val="21"/>
              </w:rPr>
              <w:t>1.4</w:t>
            </w:r>
            <w:r>
              <w:rPr>
                <w:sz w:val="21"/>
              </w:rPr>
              <w:t>现场管理要求</w:t>
            </w:r>
          </w:p>
          <w:p>
            <w:pPr>
              <w:ind w:firstLine="420"/>
              <w:jc w:val="both"/>
            </w:pPr>
            <w:r>
              <w:rPr>
                <w:sz w:val="21"/>
              </w:rPr>
              <w:t>1.</w:t>
            </w:r>
            <w:r>
              <w:rPr>
                <w:sz w:val="21"/>
              </w:rPr>
              <w:t>4.1完善工程技术方案：供应商在</w:t>
            </w:r>
            <w:r>
              <w:rPr>
                <w:sz w:val="21"/>
              </w:rPr>
              <w:t>响应</w:t>
            </w:r>
            <w:r>
              <w:rPr>
                <w:sz w:val="21"/>
              </w:rPr>
              <w:t>文件中进一步完善技术方案，根据工程内容、现场情况及相应的工程施工规范编制工程技术方案，方案应包括每个项目内容的施工前准备、具体的操作工艺、成品保护、相关注意事项、工序衔接、交叉施工的相关措施等内容。</w:t>
            </w:r>
          </w:p>
          <w:p>
            <w:pPr>
              <w:ind w:firstLine="420"/>
              <w:jc w:val="both"/>
            </w:pPr>
            <w:r>
              <w:rPr>
                <w:sz w:val="21"/>
              </w:rPr>
              <w:t>施工组织方案需列明保证施工进度计划实施及保证质量、安全生产、文明施工、环境保护的措施。</w:t>
            </w:r>
          </w:p>
          <w:p>
            <w:pPr>
              <w:ind w:firstLine="420"/>
              <w:jc w:val="both"/>
            </w:pPr>
            <w:r>
              <w:rPr>
                <w:sz w:val="21"/>
              </w:rPr>
              <w:t>1.</w:t>
            </w:r>
            <w:r>
              <w:rPr>
                <w:sz w:val="21"/>
              </w:rPr>
              <w:t>4.2供应商必须严格按照已经确认的施工方案组织施工，并应接受采购人委托的监理单位</w:t>
            </w:r>
            <w:r>
              <w:rPr>
                <w:sz w:val="21"/>
              </w:rPr>
              <w:t>（</w:t>
            </w:r>
            <w:r>
              <w:rPr>
                <w:sz w:val="21"/>
              </w:rPr>
              <w:t>若有）</w:t>
            </w:r>
            <w:r>
              <w:rPr>
                <w:sz w:val="21"/>
              </w:rPr>
              <w:t>对工程质量、工期、安全、文明施工、环保及工地纪律的管制。</w:t>
            </w:r>
          </w:p>
          <w:p>
            <w:pPr>
              <w:ind w:firstLine="420"/>
              <w:jc w:val="both"/>
            </w:pPr>
            <w:r>
              <w:rPr>
                <w:sz w:val="21"/>
              </w:rPr>
              <w:t>1.</w:t>
            </w:r>
            <w:r>
              <w:rPr>
                <w:sz w:val="21"/>
              </w:rPr>
              <w:t>4.3工地施工时间原则上规定为每日 8:00～12:00,14:00～18:00（因赶工需要</w:t>
            </w:r>
            <w:r>
              <w:rPr>
                <w:sz w:val="21"/>
              </w:rPr>
              <w:t>经采购人审批同意</w:t>
            </w:r>
            <w:r>
              <w:rPr>
                <w:sz w:val="21"/>
              </w:rPr>
              <w:t>可延长至</w:t>
            </w:r>
            <w:r>
              <w:rPr>
                <w:sz w:val="21"/>
              </w:rPr>
              <w:t>21:00），供应商运输材料时需采取措施将对医疗场地环境的影响降到最低。</w:t>
            </w:r>
          </w:p>
          <w:p>
            <w:pPr>
              <w:ind w:firstLine="420"/>
              <w:jc w:val="both"/>
            </w:pPr>
            <w:r>
              <w:rPr>
                <w:sz w:val="21"/>
              </w:rPr>
              <w:t>1.</w:t>
            </w:r>
            <w:r>
              <w:rPr>
                <w:sz w:val="21"/>
              </w:rPr>
              <w:t>4.4项目现场为正在使用的医院，供应商必须遵守</w:t>
            </w:r>
            <w:r>
              <w:rPr>
                <w:sz w:val="21"/>
              </w:rPr>
              <w:t>采购人</w:t>
            </w:r>
            <w:r>
              <w:rPr>
                <w:sz w:val="21"/>
              </w:rPr>
              <w:t>、政府部门的管理，协助配合其</w:t>
            </w:r>
            <w:r>
              <w:rPr>
                <w:sz w:val="21"/>
              </w:rPr>
              <w:t>他专业安装单位或设备厂家的安装。</w:t>
            </w:r>
          </w:p>
          <w:p>
            <w:pPr>
              <w:ind w:firstLine="420"/>
              <w:jc w:val="both"/>
            </w:pPr>
            <w:r>
              <w:rPr>
                <w:sz w:val="21"/>
              </w:rPr>
              <w:t>1.</w:t>
            </w:r>
            <w:r>
              <w:rPr>
                <w:sz w:val="21"/>
              </w:rPr>
              <w:t>4.5</w:t>
            </w:r>
            <w:r>
              <w:rPr>
                <w:sz w:val="21"/>
              </w:rPr>
              <w:t>安全施工：供应商对安全问题负完全责任，并</w:t>
            </w:r>
            <w:r>
              <w:rPr>
                <w:sz w:val="21"/>
              </w:rPr>
              <w:t>在响应文件中</w:t>
            </w:r>
            <w:r>
              <w:rPr>
                <w:sz w:val="21"/>
              </w:rPr>
              <w:t>做出书面承诺。</w:t>
            </w:r>
          </w:p>
          <w:p>
            <w:pPr>
              <w:ind w:firstLine="420"/>
              <w:jc w:val="both"/>
            </w:pPr>
            <w:r>
              <w:rPr>
                <w:sz w:val="21"/>
              </w:rPr>
              <w:t>1.</w:t>
            </w:r>
            <w:r>
              <w:rPr>
                <w:sz w:val="21"/>
              </w:rPr>
              <w:t>4.6供应商货物进场实施过程中必须采取严格措施确保人员安全，项目现场必须全封闭式及通道要临时加上盖以防高空坠物。</w:t>
            </w:r>
          </w:p>
          <w:p>
            <w:pPr>
              <w:ind w:firstLine="420"/>
              <w:jc w:val="both"/>
            </w:pPr>
            <w:r>
              <w:rPr>
                <w:sz w:val="21"/>
              </w:rPr>
              <w:t>1.4</w:t>
            </w:r>
            <w:r>
              <w:rPr>
                <w:sz w:val="21"/>
              </w:rPr>
              <w:t>.7</w:t>
            </w:r>
            <w:r>
              <w:rPr>
                <w:sz w:val="21"/>
              </w:rPr>
              <w:t>在响应文件中承诺并经选定的工程项目经理及相应资质的专业技术、管理人员，在工程实施过程中应依时到场，未经采购人同意，供应商不得擅自调换和撤离。</w:t>
            </w:r>
          </w:p>
          <w:p>
            <w:pPr>
              <w:ind w:firstLine="420"/>
              <w:jc w:val="both"/>
            </w:pPr>
            <w:r>
              <w:rPr>
                <w:sz w:val="21"/>
              </w:rPr>
              <w:t>1.</w:t>
            </w:r>
            <w:r>
              <w:rPr>
                <w:sz w:val="21"/>
              </w:rPr>
              <w:t>4.8供应商在工程施工期间，应尽量减少在施工过程中对现状的损坏，同时须严格遵守当地政府职能部门的各项规章制度，由于管理不善，导致政府职能部门的罚款和停工整改，由此发生的费用与损失由供应商自行承担，且采购人保留暂缓支付工程款的权利，以确保文明施工有效实行。</w:t>
            </w:r>
          </w:p>
          <w:p>
            <w:pPr>
              <w:jc w:val="both"/>
            </w:pPr>
            <w:r>
              <w:rPr>
                <w:sz w:val="21"/>
              </w:rPr>
              <w:t>1.5</w:t>
            </w:r>
            <w:r>
              <w:rPr>
                <w:sz w:val="21"/>
              </w:rPr>
              <w:t>供应商应充分考虑文明施工所需的一切费用</w:t>
            </w:r>
            <w:r>
              <w:rPr>
                <w:sz w:val="21"/>
              </w:rPr>
              <w:t>,并应充分考虑施工期间各类建材的市场风险和国家政策性调整风险系数。</w:t>
            </w:r>
          </w:p>
          <w:p>
            <w:pPr>
              <w:jc w:val="both"/>
            </w:pPr>
            <w:r>
              <w:rPr>
                <w:sz w:val="21"/>
              </w:rPr>
              <w:t>1.6</w:t>
            </w:r>
            <w:r>
              <w:rPr>
                <w:sz w:val="21"/>
              </w:rPr>
              <w:t>采购人有权在合同执行期间对项目方案作适当调整或修改，相应的价格调整按合同相关约定执行。</w:t>
            </w:r>
          </w:p>
          <w:p>
            <w:pPr>
              <w:jc w:val="both"/>
            </w:pPr>
            <w:r>
              <w:rPr>
                <w:sz w:val="21"/>
              </w:rPr>
              <w:t>1.7</w:t>
            </w:r>
            <w:r>
              <w:rPr>
                <w:sz w:val="21"/>
              </w:rPr>
              <w:t>本工程报价的工程量清单计价标准（包括但不限子以下内容）</w:t>
            </w:r>
            <w:r>
              <w:rPr>
                <w:sz w:val="21"/>
              </w:rPr>
              <w:t>:</w:t>
            </w:r>
          </w:p>
          <w:p>
            <w:pPr>
              <w:ind w:firstLine="420"/>
              <w:jc w:val="both"/>
            </w:pPr>
            <w:r>
              <w:rPr>
                <w:sz w:val="21"/>
              </w:rPr>
              <w:t>1.</w:t>
            </w:r>
            <w:r>
              <w:rPr>
                <w:sz w:val="21"/>
              </w:rPr>
              <w:t>7.1《建设工程工程量清单计价规范》（GB50500-2013 )</w:t>
            </w:r>
            <w:r>
              <w:rPr>
                <w:sz w:val="21"/>
              </w:rPr>
              <w:t>；</w:t>
            </w:r>
          </w:p>
          <w:p>
            <w:pPr>
              <w:ind w:firstLine="420"/>
              <w:jc w:val="both"/>
            </w:pPr>
            <w:r>
              <w:rPr>
                <w:sz w:val="21"/>
              </w:rPr>
              <w:t>1.</w:t>
            </w:r>
            <w:r>
              <w:rPr>
                <w:sz w:val="21"/>
              </w:rPr>
              <w:t>7.2《广东省建筑与装饰工程综合定额（2018年）》；</w:t>
            </w:r>
          </w:p>
          <w:p>
            <w:pPr>
              <w:ind w:firstLine="420"/>
              <w:jc w:val="both"/>
            </w:pPr>
            <w:r>
              <w:rPr>
                <w:sz w:val="21"/>
              </w:rPr>
              <w:t>1.</w:t>
            </w:r>
            <w:r>
              <w:rPr>
                <w:sz w:val="21"/>
              </w:rPr>
              <w:t>7.3《广东省安装工程综合定额（2018年）》；</w:t>
            </w:r>
          </w:p>
          <w:p>
            <w:pPr>
              <w:ind w:firstLine="420"/>
              <w:jc w:val="both"/>
            </w:pPr>
            <w:r>
              <w:rPr>
                <w:sz w:val="21"/>
              </w:rPr>
              <w:t>1.7.4《广东省市政工程综合定额（2018年）》。</w:t>
            </w:r>
          </w:p>
          <w:p>
            <w:pPr>
              <w:jc w:val="both"/>
            </w:pPr>
            <w:r>
              <w:rPr>
                <w:sz w:val="21"/>
              </w:rPr>
              <w:t>1.8</w:t>
            </w:r>
            <w:r>
              <w:rPr>
                <w:sz w:val="21"/>
              </w:rPr>
              <w:t>供应商不得以任何方式转包本工程。</w:t>
            </w:r>
          </w:p>
          <w:p>
            <w:pPr>
              <w:jc w:val="both"/>
            </w:pPr>
            <w:r>
              <w:rPr>
                <w:b/>
                <w:sz w:val="21"/>
              </w:rPr>
              <w:t>1.9</w:t>
            </w:r>
            <w:r>
              <w:rPr>
                <w:b/>
                <w:sz w:val="21"/>
              </w:rPr>
              <w:t>施工安全、维护保障措施</w:t>
            </w:r>
          </w:p>
          <w:p>
            <w:pPr>
              <w:ind w:firstLine="420"/>
              <w:jc w:val="both"/>
            </w:pPr>
            <w:r>
              <w:rPr>
                <w:sz w:val="21"/>
              </w:rPr>
              <w:t>本项目在实施期间要保证施工用电、消防安全，遵守文明施工管理规定。</w:t>
            </w:r>
          </w:p>
          <w:p>
            <w:pPr>
              <w:ind w:firstLine="413"/>
              <w:jc w:val="both"/>
            </w:pPr>
            <w:r>
              <w:rPr>
                <w:b/>
                <w:sz w:val="21"/>
              </w:rPr>
              <w:t>1.9.1</w:t>
            </w:r>
            <w:r>
              <w:rPr>
                <w:b/>
                <w:sz w:val="21"/>
              </w:rPr>
              <w:t>环境保护</w:t>
            </w:r>
          </w:p>
          <w:p>
            <w:pPr>
              <w:ind w:firstLine="420"/>
              <w:jc w:val="both"/>
            </w:pPr>
            <w:r>
              <w:rPr>
                <w:sz w:val="21"/>
              </w:rPr>
              <w:t>为加强施工现场的环境卫生管理，维护施工现场整洁卫生，根据采购人有关卫生管理的要求，规定如下：</w:t>
            </w:r>
          </w:p>
          <w:p>
            <w:pPr>
              <w:ind w:firstLine="424"/>
              <w:jc w:val="both"/>
            </w:pPr>
            <w:r>
              <w:rPr>
                <w:sz w:val="21"/>
              </w:rPr>
              <w:t>1.9.</w:t>
            </w:r>
            <w:r>
              <w:rPr>
                <w:sz w:val="21"/>
              </w:rPr>
              <w:t>1.1施工现场做到“工完料尽，场地清”。</w:t>
            </w:r>
          </w:p>
          <w:p>
            <w:pPr>
              <w:ind w:firstLine="424"/>
              <w:jc w:val="both"/>
            </w:pPr>
            <w:r>
              <w:rPr>
                <w:sz w:val="21"/>
              </w:rPr>
              <w:t>1.9.</w:t>
            </w:r>
            <w:r>
              <w:rPr>
                <w:sz w:val="21"/>
              </w:rPr>
              <w:t>1.2施工垃圾、废旧材料及时外运。</w:t>
            </w:r>
          </w:p>
          <w:p>
            <w:pPr>
              <w:ind w:firstLine="424"/>
              <w:jc w:val="both"/>
            </w:pPr>
            <w:r>
              <w:rPr>
                <w:sz w:val="21"/>
              </w:rPr>
              <w:t>1.9.</w:t>
            </w:r>
            <w:r>
              <w:rPr>
                <w:sz w:val="21"/>
              </w:rPr>
              <w:t>1.3</w:t>
            </w:r>
            <w:r>
              <w:rPr>
                <w:sz w:val="21"/>
              </w:rPr>
              <w:t>供应商</w:t>
            </w:r>
            <w:r>
              <w:rPr>
                <w:sz w:val="21"/>
              </w:rPr>
              <w:t>须对工地实行全封闭管理，并采取有效措施严禁</w:t>
            </w:r>
            <w:r>
              <w:rPr>
                <w:sz w:val="21"/>
              </w:rPr>
              <w:t>非相关</w:t>
            </w:r>
            <w:r>
              <w:rPr>
                <w:sz w:val="21"/>
              </w:rPr>
              <w:t>人员进入工地，确保他们的安全。</w:t>
            </w:r>
          </w:p>
          <w:p>
            <w:pPr>
              <w:ind w:firstLine="413"/>
              <w:jc w:val="both"/>
            </w:pPr>
            <w:r>
              <w:rPr>
                <w:b/>
                <w:sz w:val="21"/>
              </w:rPr>
              <w:t>1.9.2</w:t>
            </w:r>
            <w:r>
              <w:rPr>
                <w:b/>
                <w:sz w:val="21"/>
              </w:rPr>
              <w:t>消防及用电安全</w:t>
            </w:r>
          </w:p>
          <w:p>
            <w:pPr>
              <w:ind w:firstLine="420"/>
              <w:jc w:val="both"/>
            </w:pPr>
            <w:r>
              <w:rPr>
                <w:sz w:val="21"/>
              </w:rPr>
              <w:t>施工过程中可能会有装饰脱落、高空坠物，电缆接头漏电或绝缘层老化等导致的伤人、触电或短路引起火灾等事故发生，因此现场要注意以下事项和应急处置措施</w:t>
            </w:r>
            <w:r>
              <w:rPr>
                <w:sz w:val="21"/>
              </w:rPr>
              <w:t>。</w:t>
            </w:r>
          </w:p>
          <w:p>
            <w:pPr>
              <w:ind w:firstLine="413"/>
              <w:jc w:val="both"/>
            </w:pPr>
            <w:r>
              <w:rPr>
                <w:b/>
                <w:sz w:val="21"/>
              </w:rPr>
              <w:t>1.9.</w:t>
            </w:r>
            <w:r>
              <w:rPr>
                <w:b/>
                <w:sz w:val="21"/>
              </w:rPr>
              <w:t>2.1注意事项：</w:t>
            </w:r>
          </w:p>
          <w:p>
            <w:pPr>
              <w:ind w:firstLine="424"/>
              <w:jc w:val="both"/>
            </w:pPr>
            <w:r>
              <w:rPr>
                <w:sz w:val="21"/>
              </w:rPr>
              <w:t>①</w:t>
            </w:r>
            <w:r>
              <w:rPr>
                <w:sz w:val="21"/>
              </w:rPr>
              <w:t>施工现场牢固树立安全第一、质量第一的思想，杜绝一切事故发生，实现零投诉、零事故目标。</w:t>
            </w:r>
            <w:r>
              <w:rPr>
                <w:sz w:val="21"/>
              </w:rPr>
              <w:t xml:space="preserve"> </w:t>
            </w:r>
          </w:p>
          <w:p>
            <w:pPr>
              <w:ind w:firstLine="424"/>
              <w:jc w:val="both"/>
            </w:pPr>
            <w:r>
              <w:rPr>
                <w:sz w:val="21"/>
              </w:rPr>
              <w:t>②</w:t>
            </w:r>
            <w:r>
              <w:rPr>
                <w:sz w:val="21"/>
              </w:rPr>
              <w:t>施工现场须材料、物品摆放整齐，垃圾废物随时清理，着装整齐、行为礼貌，做到安全、文明施工。</w:t>
            </w:r>
          </w:p>
          <w:p>
            <w:pPr>
              <w:ind w:firstLine="424"/>
              <w:jc w:val="both"/>
            </w:pPr>
            <w:r>
              <w:rPr>
                <w:sz w:val="21"/>
              </w:rPr>
              <w:t>③</w:t>
            </w:r>
            <w:r>
              <w:rPr>
                <w:sz w:val="21"/>
              </w:rPr>
              <w:t>施工现场要摆放安全标示、警告牌，采取防护隔离措施。现场施工管理负责人要做好监督管理工作，各项工作开始前负责人要警示、警告现场施工人员须佩戴安全帽及注意事项，确保人身财产安全。</w:t>
            </w:r>
          </w:p>
          <w:p>
            <w:pPr>
              <w:ind w:firstLine="413"/>
              <w:jc w:val="both"/>
            </w:pPr>
            <w:r>
              <w:rPr>
                <w:b/>
                <w:sz w:val="21"/>
              </w:rPr>
              <w:t>1.9.</w:t>
            </w:r>
            <w:r>
              <w:rPr>
                <w:b/>
                <w:sz w:val="21"/>
              </w:rPr>
              <w:t>2.2处置措施：</w:t>
            </w:r>
          </w:p>
          <w:p>
            <w:pPr>
              <w:ind w:firstLine="424"/>
              <w:jc w:val="both"/>
            </w:pPr>
            <w:r>
              <w:rPr>
                <w:sz w:val="21"/>
              </w:rPr>
              <w:t>①</w:t>
            </w:r>
            <w:r>
              <w:rPr>
                <w:sz w:val="21"/>
              </w:rPr>
              <w:t>当发生安全事故时，现场负责人在第一时间向</w:t>
            </w:r>
            <w:r>
              <w:rPr>
                <w:sz w:val="21"/>
              </w:rPr>
              <w:t>采购人</w:t>
            </w:r>
            <w:r>
              <w:rPr>
                <w:sz w:val="21"/>
              </w:rPr>
              <w:t>报告。</w:t>
            </w:r>
          </w:p>
          <w:p>
            <w:pPr>
              <w:ind w:firstLine="424"/>
              <w:jc w:val="both"/>
            </w:pPr>
            <w:r>
              <w:rPr>
                <w:sz w:val="21"/>
              </w:rPr>
              <w:t>②</w:t>
            </w:r>
            <w:r>
              <w:rPr>
                <w:sz w:val="21"/>
              </w:rPr>
              <w:t>发生伤人情况时，要及时将受伤人员送医救治，向</w:t>
            </w:r>
            <w:r>
              <w:rPr>
                <w:sz w:val="21"/>
              </w:rPr>
              <w:t>采购人</w:t>
            </w:r>
            <w:r>
              <w:rPr>
                <w:sz w:val="21"/>
              </w:rPr>
              <w:t>报告并拨打医疗急救电话，第一时间封锁现场，做好现场保护工作，等待</w:t>
            </w:r>
            <w:r>
              <w:rPr>
                <w:sz w:val="21"/>
              </w:rPr>
              <w:t>采购人</w:t>
            </w:r>
            <w:r>
              <w:rPr>
                <w:sz w:val="21"/>
              </w:rPr>
              <w:t>来进行统一协调工作。</w:t>
            </w:r>
          </w:p>
          <w:p>
            <w:pPr>
              <w:ind w:firstLine="424"/>
              <w:jc w:val="both"/>
            </w:pPr>
            <w:r>
              <w:rPr>
                <w:sz w:val="21"/>
              </w:rPr>
              <w:t>③</w:t>
            </w:r>
            <w:r>
              <w:rPr>
                <w:sz w:val="21"/>
              </w:rPr>
              <w:t>发生火灾情况时，要及时进行扑救，向</w:t>
            </w:r>
            <w:r>
              <w:rPr>
                <w:sz w:val="21"/>
              </w:rPr>
              <w:t>采购人</w:t>
            </w:r>
            <w:r>
              <w:rPr>
                <w:sz w:val="21"/>
              </w:rPr>
              <w:t>报告并及时拨打消防报警电话，及时疏散现场人员和转移财产。对有触电或灼伤等伤亡人员时，要及时送医或拨打医疗急救电话，配合消防和医疗人员进行救灾，以及事后调查。</w:t>
            </w:r>
          </w:p>
          <w:p>
            <w:pPr>
              <w:ind w:firstLine="413"/>
              <w:jc w:val="both"/>
            </w:pPr>
            <w:r>
              <w:rPr>
                <w:b/>
                <w:sz w:val="21"/>
              </w:rPr>
              <w:t>1.9.3</w:t>
            </w:r>
            <w:r>
              <w:rPr>
                <w:b/>
                <w:sz w:val="21"/>
              </w:rPr>
              <w:t>文明施工管理</w:t>
            </w:r>
          </w:p>
          <w:p>
            <w:pPr>
              <w:ind w:firstLine="424"/>
              <w:jc w:val="both"/>
            </w:pPr>
            <w:r>
              <w:rPr>
                <w:sz w:val="21"/>
              </w:rPr>
              <w:t>1.9.</w:t>
            </w:r>
            <w:r>
              <w:rPr>
                <w:sz w:val="21"/>
              </w:rPr>
              <w:t>3.1强化安全文明意识，加强安全生产，开展标准化文明施工。</w:t>
            </w:r>
          </w:p>
          <w:p>
            <w:pPr>
              <w:ind w:firstLine="424"/>
              <w:jc w:val="both"/>
            </w:pPr>
            <w:r>
              <w:rPr>
                <w:sz w:val="21"/>
              </w:rPr>
              <w:t>1.9.</w:t>
            </w:r>
            <w:r>
              <w:rPr>
                <w:sz w:val="21"/>
              </w:rPr>
              <w:t>3.2施工人员在离开现场时要切断电动工具的电源</w:t>
            </w:r>
            <w:r>
              <w:rPr>
                <w:sz w:val="21"/>
              </w:rPr>
              <w:t>。</w:t>
            </w:r>
          </w:p>
          <w:p>
            <w:pPr>
              <w:ind w:firstLine="424"/>
              <w:jc w:val="both"/>
            </w:pPr>
            <w:r>
              <w:rPr>
                <w:sz w:val="21"/>
              </w:rPr>
              <w:t>1.9.</w:t>
            </w:r>
            <w:r>
              <w:rPr>
                <w:sz w:val="21"/>
              </w:rPr>
              <w:t>3.3施工人员在施工现场须严格遵守制度规定，不得损害任何安全设备设施，凡挪动与消防和其它设施有关的设备须先向</w:t>
            </w:r>
            <w:r>
              <w:rPr>
                <w:sz w:val="21"/>
              </w:rPr>
              <w:t>采购人</w:t>
            </w:r>
            <w:r>
              <w:rPr>
                <w:sz w:val="21"/>
              </w:rPr>
              <w:t>提出书面申请报告，在得到批准后方可进行。</w:t>
            </w:r>
          </w:p>
          <w:p>
            <w:pPr>
              <w:ind w:firstLine="424"/>
              <w:jc w:val="both"/>
            </w:pPr>
            <w:r>
              <w:rPr>
                <w:sz w:val="21"/>
              </w:rPr>
              <w:t>1.9.</w:t>
            </w:r>
            <w:r>
              <w:rPr>
                <w:sz w:val="21"/>
              </w:rPr>
              <w:t>3.4施工用梯需架设牢固，操作人员在梯、架上不要多人上下，较高位置操作时要使用安全带。</w:t>
            </w:r>
          </w:p>
          <w:p>
            <w:pPr>
              <w:ind w:firstLine="424"/>
              <w:jc w:val="both"/>
            </w:pPr>
            <w:r>
              <w:rPr>
                <w:sz w:val="21"/>
              </w:rPr>
              <w:t>1.9.</w:t>
            </w:r>
            <w:r>
              <w:rPr>
                <w:sz w:val="21"/>
              </w:rPr>
              <w:t>3.5装卸、搬运大件线缆等材料时，要轻拿轻放，防止挤手压脚及其它事故发生。</w:t>
            </w:r>
          </w:p>
          <w:p>
            <w:pPr>
              <w:ind w:firstLine="424"/>
              <w:jc w:val="both"/>
            </w:pPr>
            <w:r>
              <w:rPr>
                <w:sz w:val="21"/>
              </w:rPr>
              <w:t>1.9.</w:t>
            </w:r>
            <w:r>
              <w:rPr>
                <w:sz w:val="21"/>
              </w:rPr>
              <w:t>3.6使用电钻、工作灯等电器时，要按规范进行接电和操作，经试运转正常后再开始操作。</w:t>
            </w:r>
          </w:p>
          <w:p>
            <w:pPr>
              <w:ind w:firstLine="424"/>
              <w:jc w:val="both"/>
            </w:pPr>
            <w:r>
              <w:rPr>
                <w:sz w:val="21"/>
              </w:rPr>
              <w:t>1.9.</w:t>
            </w:r>
            <w:r>
              <w:rPr>
                <w:sz w:val="21"/>
              </w:rPr>
              <w:t>3.7施工中要注意用电、防火安全。</w:t>
            </w:r>
          </w:p>
          <w:p>
            <w:pPr>
              <w:ind w:firstLine="424"/>
              <w:jc w:val="both"/>
            </w:pPr>
            <w:r>
              <w:rPr>
                <w:sz w:val="21"/>
              </w:rPr>
              <w:t>1.9.</w:t>
            </w:r>
            <w:r>
              <w:rPr>
                <w:sz w:val="21"/>
              </w:rPr>
              <w:t>3.8施工人员着装得体，不准穿拖鞋、短裤及背心入场。</w:t>
            </w:r>
          </w:p>
          <w:p>
            <w:pPr>
              <w:ind w:firstLine="424"/>
              <w:jc w:val="both"/>
            </w:pPr>
            <w:r>
              <w:rPr>
                <w:sz w:val="21"/>
              </w:rPr>
              <w:t>1.9.</w:t>
            </w:r>
            <w:r>
              <w:rPr>
                <w:sz w:val="21"/>
              </w:rPr>
              <w:t>3.9严格控制火源使用，施工场地禁止吸烟。</w:t>
            </w:r>
          </w:p>
          <w:p>
            <w:pPr>
              <w:ind w:firstLine="424"/>
              <w:jc w:val="both"/>
            </w:pPr>
            <w:r>
              <w:rPr>
                <w:sz w:val="21"/>
              </w:rPr>
              <w:t>1.9.</w:t>
            </w:r>
            <w:r>
              <w:rPr>
                <w:sz w:val="21"/>
              </w:rPr>
              <w:t>3.10保持清洁现场，工具、材料分类堆放整齐。</w:t>
            </w:r>
          </w:p>
          <w:p>
            <w:pPr>
              <w:ind w:firstLine="424"/>
              <w:jc w:val="both"/>
            </w:pPr>
            <w:r>
              <w:rPr>
                <w:sz w:val="21"/>
              </w:rPr>
              <w:t>1.9.</w:t>
            </w:r>
            <w:r>
              <w:rPr>
                <w:sz w:val="21"/>
              </w:rPr>
              <w:t>3.11各种设备的包装纸板等及时清理干净运出场外。</w:t>
            </w:r>
          </w:p>
          <w:p>
            <w:pPr>
              <w:ind w:firstLine="424"/>
              <w:jc w:val="both"/>
            </w:pPr>
            <w:r>
              <w:rPr>
                <w:sz w:val="21"/>
              </w:rPr>
              <w:t>1.9.</w:t>
            </w:r>
            <w:r>
              <w:rPr>
                <w:sz w:val="21"/>
              </w:rPr>
              <w:t>3.12随时清理工地现场的废料，禁止乱扔乱放。</w:t>
            </w:r>
          </w:p>
          <w:p>
            <w:pPr>
              <w:ind w:firstLine="413"/>
              <w:jc w:val="both"/>
            </w:pPr>
            <w:r>
              <w:rPr>
                <w:b/>
                <w:sz w:val="21"/>
              </w:rPr>
              <w:t>1.9.4</w:t>
            </w:r>
            <w:r>
              <w:rPr>
                <w:b/>
                <w:sz w:val="21"/>
              </w:rPr>
              <w:t>电气、管线安装要求严格按行业安装规范施工。</w:t>
            </w:r>
          </w:p>
          <w:p>
            <w:pPr>
              <w:jc w:val="both"/>
            </w:pPr>
            <w:r>
              <w:rPr>
                <w:b/>
                <w:sz w:val="21"/>
              </w:rPr>
              <w:t>1.10</w:t>
            </w:r>
            <w:r>
              <w:rPr>
                <w:b/>
                <w:sz w:val="21"/>
              </w:rPr>
              <w:t>质量要求：</w:t>
            </w:r>
          </w:p>
          <w:p>
            <w:pPr>
              <w:ind w:firstLine="420"/>
              <w:jc w:val="both"/>
            </w:pPr>
            <w:r>
              <w:rPr>
                <w:sz w:val="21"/>
              </w:rPr>
              <w:t>1.10.1</w:t>
            </w:r>
            <w:r>
              <w:rPr>
                <w:sz w:val="21"/>
              </w:rPr>
              <w:t>供应商可根据实际情况，提出更高的质量等级的</w:t>
            </w:r>
            <w:r>
              <w:rPr>
                <w:sz w:val="21"/>
              </w:rPr>
              <w:t>响应</w:t>
            </w:r>
            <w:r>
              <w:rPr>
                <w:sz w:val="21"/>
              </w:rPr>
              <w:t>文件，供应商为达到该质量等级所需投入的资金，应被认为已包含在其报价内。</w:t>
            </w:r>
          </w:p>
          <w:p>
            <w:pPr>
              <w:ind w:firstLine="420"/>
              <w:jc w:val="both"/>
            </w:pPr>
            <w:r>
              <w:rPr>
                <w:sz w:val="21"/>
              </w:rPr>
              <w:t>1.10.</w:t>
            </w:r>
            <w:r>
              <w:rPr>
                <w:sz w:val="21"/>
              </w:rPr>
              <w:t>2</w:t>
            </w:r>
            <w:r>
              <w:rPr>
                <w:sz w:val="21"/>
              </w:rPr>
              <w:t>供应商需保证按照本工程施工项目内容和设计图纸要求施工，相关技术参数符合现行有关标准，面材样式和颜色等需经采购人同意方可使用。</w:t>
            </w:r>
          </w:p>
          <w:p>
            <w:pPr>
              <w:ind w:firstLine="420"/>
              <w:jc w:val="both"/>
            </w:pPr>
            <w:r>
              <w:rPr>
                <w:sz w:val="21"/>
              </w:rPr>
              <w:t>1.10.</w:t>
            </w:r>
            <w:r>
              <w:rPr>
                <w:sz w:val="21"/>
              </w:rPr>
              <w:t>3</w:t>
            </w:r>
            <w:r>
              <w:rPr>
                <w:sz w:val="21"/>
              </w:rPr>
              <w:t>工程质量标准及技术要求：本项目的全部技术指标，包括设计、设备、材料、运输、安装、调试、维修全过程的各项目技术参数必须符合或高于国家有关强制性标准、规范的规定以及其他有关标准、规范的要求，严格按图施工。包括但不限于下列：</w:t>
            </w:r>
          </w:p>
          <w:p>
            <w:pPr>
              <w:ind w:firstLine="420"/>
              <w:jc w:val="both"/>
            </w:pPr>
            <w:r>
              <w:rPr>
                <w:sz w:val="21"/>
              </w:rPr>
              <w:t>《建筑设计防火规范》（</w:t>
            </w:r>
            <w:r>
              <w:rPr>
                <w:sz w:val="21"/>
              </w:rPr>
              <w:t>GB50016-2014（</w:t>
            </w:r>
            <w:r>
              <w:rPr>
                <w:sz w:val="21"/>
              </w:rPr>
              <w:t>2018年局部修订版</w:t>
            </w:r>
            <w:r>
              <w:rPr>
                <w:sz w:val="21"/>
              </w:rPr>
              <w:t>））</w:t>
            </w:r>
          </w:p>
          <w:p>
            <w:pPr>
              <w:ind w:firstLine="420"/>
              <w:jc w:val="both"/>
            </w:pPr>
            <w:r>
              <w:rPr>
                <w:sz w:val="21"/>
              </w:rPr>
              <w:t>《</w:t>
            </w:r>
            <w:r>
              <w:rPr>
                <w:sz w:val="21"/>
              </w:rPr>
              <w:t>供配电系统设计规范</w:t>
            </w:r>
            <w:r>
              <w:rPr>
                <w:sz w:val="21"/>
              </w:rPr>
              <w:t>》（</w:t>
            </w:r>
            <w:r>
              <w:rPr>
                <w:sz w:val="21"/>
              </w:rPr>
              <w:t>GB50052-2009</w:t>
            </w:r>
            <w:r>
              <w:rPr>
                <w:sz w:val="21"/>
              </w:rPr>
              <w:t>）</w:t>
            </w:r>
          </w:p>
          <w:p>
            <w:pPr>
              <w:ind w:firstLine="420"/>
              <w:jc w:val="both"/>
            </w:pPr>
            <w:r>
              <w:rPr>
                <w:sz w:val="21"/>
              </w:rPr>
              <w:t>《</w:t>
            </w:r>
            <w:r>
              <w:rPr>
                <w:sz w:val="21"/>
              </w:rPr>
              <w:t>20kV及以下变电所设计规范</w:t>
            </w:r>
            <w:r>
              <w:rPr>
                <w:sz w:val="21"/>
              </w:rPr>
              <w:t>》（</w:t>
            </w:r>
            <w:r>
              <w:rPr>
                <w:sz w:val="21"/>
              </w:rPr>
              <w:t>GB50053-2013</w:t>
            </w:r>
            <w:r>
              <w:rPr>
                <w:sz w:val="21"/>
              </w:rPr>
              <w:t>）</w:t>
            </w:r>
          </w:p>
          <w:p>
            <w:pPr>
              <w:ind w:firstLine="420"/>
              <w:jc w:val="both"/>
            </w:pPr>
            <w:r>
              <w:rPr>
                <w:sz w:val="21"/>
              </w:rPr>
              <w:t>《</w:t>
            </w:r>
            <w:r>
              <w:rPr>
                <w:sz w:val="21"/>
              </w:rPr>
              <w:t>电力工程电缆设计标准</w:t>
            </w:r>
            <w:r>
              <w:rPr>
                <w:sz w:val="21"/>
              </w:rPr>
              <w:t>》（</w:t>
            </w:r>
            <w:r>
              <w:rPr>
                <w:sz w:val="21"/>
              </w:rPr>
              <w:t>GB50217-2018</w:t>
            </w:r>
            <w:r>
              <w:rPr>
                <w:sz w:val="21"/>
              </w:rPr>
              <w:t>）</w:t>
            </w:r>
          </w:p>
          <w:p>
            <w:pPr>
              <w:ind w:firstLine="420"/>
              <w:jc w:val="both"/>
            </w:pPr>
            <w:r>
              <w:rPr>
                <w:sz w:val="21"/>
              </w:rPr>
              <w:t>《</w:t>
            </w:r>
            <w:r>
              <w:rPr>
                <w:sz w:val="21"/>
              </w:rPr>
              <w:t>3~110kV高压配电装置设计规范</w:t>
            </w:r>
            <w:r>
              <w:rPr>
                <w:sz w:val="21"/>
              </w:rPr>
              <w:t>》（</w:t>
            </w:r>
            <w:r>
              <w:rPr>
                <w:sz w:val="21"/>
              </w:rPr>
              <w:t>GB50060-2008</w:t>
            </w:r>
            <w:r>
              <w:rPr>
                <w:sz w:val="21"/>
              </w:rPr>
              <w:t>）</w:t>
            </w:r>
          </w:p>
          <w:p>
            <w:pPr>
              <w:ind w:firstLine="420"/>
              <w:jc w:val="both"/>
            </w:pPr>
            <w:r>
              <w:rPr>
                <w:sz w:val="21"/>
              </w:rPr>
              <w:t>《</w:t>
            </w:r>
            <w:r>
              <w:rPr>
                <w:sz w:val="21"/>
              </w:rPr>
              <w:t>并联电容器装置设计规范</w:t>
            </w:r>
            <w:r>
              <w:rPr>
                <w:sz w:val="21"/>
              </w:rPr>
              <w:t>》（</w:t>
            </w:r>
            <w:r>
              <w:rPr>
                <w:sz w:val="21"/>
              </w:rPr>
              <w:t>GB50227-2017</w:t>
            </w:r>
            <w:r>
              <w:rPr>
                <w:sz w:val="21"/>
              </w:rPr>
              <w:t>）</w:t>
            </w:r>
          </w:p>
          <w:p>
            <w:pPr>
              <w:ind w:firstLine="420"/>
              <w:jc w:val="both"/>
            </w:pPr>
            <w:r>
              <w:rPr>
                <w:sz w:val="21"/>
              </w:rPr>
              <w:t>《</w:t>
            </w:r>
            <w:r>
              <w:rPr>
                <w:sz w:val="21"/>
              </w:rPr>
              <w:t>电力装置的继电保护和自动装置设计规范</w:t>
            </w:r>
            <w:r>
              <w:rPr>
                <w:sz w:val="21"/>
              </w:rPr>
              <w:t>》（</w:t>
            </w:r>
            <w:r>
              <w:rPr>
                <w:sz w:val="21"/>
              </w:rPr>
              <w:t>GB/T50062-2008</w:t>
            </w:r>
            <w:r>
              <w:rPr>
                <w:sz w:val="21"/>
              </w:rPr>
              <w:t>）</w:t>
            </w:r>
          </w:p>
          <w:p>
            <w:pPr>
              <w:ind w:firstLine="420"/>
              <w:jc w:val="both"/>
            </w:pPr>
            <w:r>
              <w:rPr>
                <w:sz w:val="21"/>
              </w:rPr>
              <w:t>《</w:t>
            </w:r>
            <w:r>
              <w:rPr>
                <w:sz w:val="21"/>
              </w:rPr>
              <w:t>低压配电设计规范</w:t>
            </w:r>
            <w:r>
              <w:rPr>
                <w:sz w:val="21"/>
              </w:rPr>
              <w:t>》（</w:t>
            </w:r>
            <w:r>
              <w:rPr>
                <w:sz w:val="21"/>
              </w:rPr>
              <w:t>GB50054-2011</w:t>
            </w:r>
            <w:r>
              <w:rPr>
                <w:sz w:val="21"/>
              </w:rPr>
              <w:t>）</w:t>
            </w:r>
          </w:p>
          <w:p>
            <w:pPr>
              <w:ind w:firstLine="420"/>
              <w:jc w:val="both"/>
            </w:pPr>
            <w:r>
              <w:rPr>
                <w:sz w:val="21"/>
              </w:rPr>
              <w:t>《</w:t>
            </w:r>
            <w:r>
              <w:rPr>
                <w:sz w:val="21"/>
              </w:rPr>
              <w:t>民用建筑电气设计标准</w:t>
            </w:r>
            <w:r>
              <w:rPr>
                <w:sz w:val="21"/>
              </w:rPr>
              <w:t>》（</w:t>
            </w:r>
            <w:r>
              <w:rPr>
                <w:sz w:val="21"/>
              </w:rPr>
              <w:t>GB51348-2019</w:t>
            </w:r>
            <w:r>
              <w:rPr>
                <w:sz w:val="21"/>
              </w:rPr>
              <w:t>）</w:t>
            </w:r>
          </w:p>
          <w:p>
            <w:pPr>
              <w:ind w:firstLine="420"/>
              <w:jc w:val="both"/>
            </w:pPr>
            <w:r>
              <w:rPr>
                <w:sz w:val="21"/>
              </w:rPr>
              <w:t>《</w:t>
            </w:r>
            <w:r>
              <w:rPr>
                <w:sz w:val="21"/>
              </w:rPr>
              <w:t>导体和电器选择设计技术规范</w:t>
            </w:r>
            <w:r>
              <w:rPr>
                <w:sz w:val="21"/>
              </w:rPr>
              <w:t>》（</w:t>
            </w:r>
            <w:r>
              <w:rPr>
                <w:sz w:val="21"/>
              </w:rPr>
              <w:t>DL/T5222-2005</w:t>
            </w:r>
            <w:r>
              <w:rPr>
                <w:sz w:val="21"/>
              </w:rPr>
              <w:t>）</w:t>
            </w:r>
          </w:p>
          <w:p>
            <w:pPr>
              <w:ind w:firstLine="420"/>
              <w:jc w:val="both"/>
            </w:pPr>
            <w:r>
              <w:rPr>
                <w:sz w:val="21"/>
              </w:rPr>
              <w:t>《</w:t>
            </w:r>
            <w:r>
              <w:rPr>
                <w:sz w:val="21"/>
              </w:rPr>
              <w:t>电力装置电测量仪表装置设计规范</w:t>
            </w:r>
            <w:r>
              <w:rPr>
                <w:sz w:val="21"/>
              </w:rPr>
              <w:t>》（</w:t>
            </w:r>
            <w:r>
              <w:rPr>
                <w:sz w:val="21"/>
              </w:rPr>
              <w:t>GB/T50063-2017</w:t>
            </w:r>
            <w:r>
              <w:rPr>
                <w:sz w:val="21"/>
              </w:rPr>
              <w:t>）</w:t>
            </w:r>
          </w:p>
          <w:p>
            <w:pPr>
              <w:ind w:firstLine="420"/>
              <w:jc w:val="both"/>
            </w:pPr>
            <w:r>
              <w:rPr>
                <w:sz w:val="21"/>
              </w:rPr>
              <w:t>《</w:t>
            </w:r>
            <w:r>
              <w:rPr>
                <w:sz w:val="21"/>
              </w:rPr>
              <w:t>电力工程直流电源系统设计技术规程</w:t>
            </w:r>
            <w:r>
              <w:rPr>
                <w:sz w:val="21"/>
              </w:rPr>
              <w:t>》（</w:t>
            </w:r>
            <w:r>
              <w:rPr>
                <w:sz w:val="21"/>
              </w:rPr>
              <w:t>DL/T5044-2014</w:t>
            </w:r>
            <w:r>
              <w:rPr>
                <w:sz w:val="21"/>
              </w:rPr>
              <w:t>）</w:t>
            </w:r>
          </w:p>
          <w:p>
            <w:pPr>
              <w:ind w:firstLine="420"/>
              <w:jc w:val="both"/>
            </w:pPr>
            <w:r>
              <w:rPr>
                <w:sz w:val="21"/>
              </w:rPr>
              <w:t>《</w:t>
            </w:r>
            <w:r>
              <w:rPr>
                <w:sz w:val="21"/>
              </w:rPr>
              <w:t>交流电气装置的接地设计规范</w:t>
            </w:r>
            <w:r>
              <w:rPr>
                <w:sz w:val="21"/>
              </w:rPr>
              <w:t>》（</w:t>
            </w:r>
            <w:r>
              <w:rPr>
                <w:sz w:val="21"/>
              </w:rPr>
              <w:t>GB/T50065-2011</w:t>
            </w:r>
            <w:r>
              <w:rPr>
                <w:sz w:val="21"/>
              </w:rPr>
              <w:t>）</w:t>
            </w:r>
          </w:p>
          <w:p>
            <w:pPr>
              <w:ind w:firstLine="420"/>
              <w:jc w:val="both"/>
            </w:pPr>
            <w:r>
              <w:rPr>
                <w:sz w:val="21"/>
              </w:rPr>
              <w:t>《</w:t>
            </w:r>
            <w:r>
              <w:rPr>
                <w:sz w:val="21"/>
              </w:rPr>
              <w:t>交流电气装置的过电压保护和绝缘配合设计规范</w:t>
            </w:r>
            <w:r>
              <w:rPr>
                <w:sz w:val="21"/>
              </w:rPr>
              <w:t>》（</w:t>
            </w:r>
            <w:r>
              <w:rPr>
                <w:sz w:val="21"/>
              </w:rPr>
              <w:t>GB/T50064-2014</w:t>
            </w:r>
            <w:r>
              <w:rPr>
                <w:sz w:val="21"/>
              </w:rPr>
              <w:t>）</w:t>
            </w:r>
          </w:p>
          <w:p>
            <w:pPr>
              <w:ind w:firstLine="420"/>
              <w:jc w:val="both"/>
            </w:pPr>
            <w:r>
              <w:rPr>
                <w:sz w:val="21"/>
              </w:rPr>
              <w:t>《</w:t>
            </w:r>
            <w:r>
              <w:rPr>
                <w:sz w:val="21"/>
              </w:rPr>
              <w:t>建筑物防雷设计规范</w:t>
            </w:r>
            <w:r>
              <w:rPr>
                <w:sz w:val="21"/>
              </w:rPr>
              <w:t>》（</w:t>
            </w:r>
            <w:r>
              <w:rPr>
                <w:sz w:val="21"/>
              </w:rPr>
              <w:t>GB50057-2010</w:t>
            </w:r>
            <w:r>
              <w:rPr>
                <w:sz w:val="21"/>
              </w:rPr>
              <w:t>）</w:t>
            </w:r>
          </w:p>
          <w:p>
            <w:pPr>
              <w:ind w:firstLine="420"/>
              <w:jc w:val="both"/>
            </w:pPr>
            <w:r>
              <w:rPr>
                <w:sz w:val="21"/>
              </w:rPr>
              <w:t>《</w:t>
            </w:r>
            <w:r>
              <w:rPr>
                <w:sz w:val="21"/>
              </w:rPr>
              <w:t>广州供电局配网建设与改造工程设计技术原则</w:t>
            </w:r>
            <w:r>
              <w:rPr>
                <w:sz w:val="21"/>
              </w:rPr>
              <w:t>》（</w:t>
            </w:r>
            <w:r>
              <w:rPr>
                <w:sz w:val="21"/>
              </w:rPr>
              <w:t>2009版《中国南方电网公司110kV以下配电网规划指导原则》</w:t>
            </w:r>
            <w:r>
              <w:rPr>
                <w:sz w:val="21"/>
              </w:rPr>
              <w:t>）</w:t>
            </w:r>
          </w:p>
          <w:p>
            <w:pPr>
              <w:ind w:firstLine="420"/>
              <w:jc w:val="both"/>
            </w:pPr>
            <w:r>
              <w:rPr>
                <w:sz w:val="21"/>
              </w:rPr>
              <w:t>《</w:t>
            </w:r>
            <w:r>
              <w:rPr>
                <w:sz w:val="21"/>
              </w:rPr>
              <w:t>广州供电局业扩工程接入系统管理及技术暂行规定</w:t>
            </w:r>
            <w:r>
              <w:rPr>
                <w:sz w:val="21"/>
              </w:rPr>
              <w:t>》（</w:t>
            </w:r>
            <w:r>
              <w:rPr>
                <w:sz w:val="21"/>
              </w:rPr>
              <w:t>2005年版《中国南方电网城市配电网技术导则》</w:t>
            </w:r>
            <w:r>
              <w:rPr>
                <w:sz w:val="21"/>
              </w:rPr>
              <w:t>）</w:t>
            </w:r>
          </w:p>
          <w:p>
            <w:pPr>
              <w:ind w:firstLine="420"/>
              <w:jc w:val="both"/>
            </w:pPr>
            <w:r>
              <w:rPr>
                <w:sz w:val="21"/>
              </w:rPr>
              <w:t>《</w:t>
            </w:r>
            <w:r>
              <w:rPr>
                <w:sz w:val="21"/>
              </w:rPr>
              <w:t>南方电网公司</w:t>
            </w:r>
            <w:r>
              <w:rPr>
                <w:sz w:val="21"/>
              </w:rPr>
              <w:t>10kV及以下业扩受电工程典型设计（2018版）</w:t>
            </w:r>
            <w:r>
              <w:rPr>
                <w:sz w:val="21"/>
              </w:rPr>
              <w:t>》</w:t>
            </w:r>
          </w:p>
          <w:p>
            <w:pPr>
              <w:ind w:firstLine="420"/>
              <w:jc w:val="both"/>
            </w:pPr>
            <w:r>
              <w:rPr>
                <w:sz w:val="21"/>
              </w:rPr>
              <w:t>《</w:t>
            </w:r>
            <w:r>
              <w:rPr>
                <w:sz w:val="21"/>
              </w:rPr>
              <w:t>广州供电局</w:t>
            </w:r>
            <w:r>
              <w:rPr>
                <w:sz w:val="21"/>
              </w:rPr>
              <w:t>10kV及以下客户受电工程施工图设计内容及深度要求》2016版。</w:t>
            </w:r>
          </w:p>
          <w:p>
            <w:pPr>
              <w:ind w:firstLine="420"/>
              <w:jc w:val="both"/>
            </w:pPr>
            <w:r>
              <w:rPr>
                <w:sz w:val="21"/>
              </w:rPr>
              <w:t>其它与本工程相关的技术如果国家有新的行业标准公布，则按新标准执行。</w:t>
            </w:r>
          </w:p>
          <w:p>
            <w:pPr>
              <w:ind w:firstLine="420"/>
              <w:jc w:val="both"/>
            </w:pPr>
            <w:r>
              <w:rPr>
                <w:sz w:val="21"/>
              </w:rPr>
              <w:t>1.10.</w:t>
            </w:r>
            <w:r>
              <w:rPr>
                <w:sz w:val="21"/>
              </w:rPr>
              <w:t>4</w:t>
            </w:r>
            <w:r>
              <w:rPr>
                <w:sz w:val="21"/>
              </w:rPr>
              <w:t>工程达到</w:t>
            </w:r>
            <w:r>
              <w:rPr>
                <w:sz w:val="21"/>
              </w:rPr>
              <w:t>一次验收合格，且达到供电部门验收要求。</w:t>
            </w:r>
            <w:r>
              <w:rPr>
                <w:sz w:val="21"/>
              </w:rPr>
              <w:t>供应商</w:t>
            </w:r>
            <w:r>
              <w:rPr>
                <w:sz w:val="21"/>
              </w:rPr>
              <w:t>在施工中如果存在工程质量不符合国家相关规范或磋商文件的有关约定的情况，采购人要求停工或返工时，</w:t>
            </w:r>
            <w:r>
              <w:rPr>
                <w:sz w:val="21"/>
              </w:rPr>
              <w:t>供应商</w:t>
            </w:r>
            <w:r>
              <w:rPr>
                <w:sz w:val="21"/>
              </w:rPr>
              <w:t>须无条件立即执行，并承担由此产生的各种费用，工期不予顺延。</w:t>
            </w:r>
          </w:p>
          <w:p>
            <w:pPr>
              <w:ind w:firstLine="420"/>
              <w:jc w:val="both"/>
            </w:pPr>
            <w:r>
              <w:rPr>
                <w:sz w:val="21"/>
              </w:rPr>
              <w:t>1.10.</w:t>
            </w:r>
            <w:r>
              <w:rPr>
                <w:sz w:val="21"/>
              </w:rPr>
              <w:t>5</w:t>
            </w:r>
            <w:r>
              <w:rPr>
                <w:sz w:val="21"/>
              </w:rPr>
              <w:t>供应商</w:t>
            </w:r>
            <w:r>
              <w:rPr>
                <w:sz w:val="21"/>
              </w:rPr>
              <w:t>成交后在施工前要向</w:t>
            </w:r>
            <w:r>
              <w:rPr>
                <w:sz w:val="21"/>
              </w:rPr>
              <w:t>采购人</w:t>
            </w:r>
            <w:r>
              <w:rPr>
                <w:sz w:val="21"/>
              </w:rPr>
              <w:t>申报施工方案，经审批后严格执行，每道工序需符合相应的规范要求并申报，经采购人驻现场人员签字确认后才进入下道工序。</w:t>
            </w:r>
          </w:p>
          <w:p>
            <w:pPr>
              <w:ind w:firstLine="420"/>
              <w:jc w:val="both"/>
            </w:pPr>
            <w:r>
              <w:rPr>
                <w:sz w:val="21"/>
              </w:rPr>
              <w:t>1.10.</w:t>
            </w:r>
            <w:r>
              <w:rPr>
                <w:sz w:val="21"/>
              </w:rPr>
              <w:t>6</w:t>
            </w:r>
            <w:r>
              <w:rPr>
                <w:sz w:val="21"/>
              </w:rPr>
              <w:t>工程质量标准</w:t>
            </w:r>
          </w:p>
          <w:p>
            <w:pPr>
              <w:ind w:firstLine="420"/>
              <w:jc w:val="both"/>
            </w:pPr>
            <w:r>
              <w:rPr>
                <w:sz w:val="21"/>
              </w:rPr>
              <w:t>工程质量：一次验收合格，且达到供电部门验收要求。标准按国家现行施工验收规范执行，工程质量确保达到合格。</w:t>
            </w:r>
          </w:p>
          <w:p>
            <w:pPr>
              <w:jc w:val="both"/>
            </w:pPr>
            <w:r>
              <w:rPr>
                <w:b/>
                <w:sz w:val="21"/>
              </w:rPr>
              <w:t>1.11</w:t>
            </w:r>
            <w:r>
              <w:rPr>
                <w:b/>
                <w:sz w:val="21"/>
              </w:rPr>
              <w:t>对工程重点、难点的分析要求</w:t>
            </w:r>
          </w:p>
          <w:p>
            <w:pPr>
              <w:ind w:firstLine="420"/>
              <w:jc w:val="both"/>
            </w:pPr>
            <w:r>
              <w:rPr>
                <w:sz w:val="21"/>
              </w:rPr>
              <w:t>有协调配合重难点分析及对策，成品保护重难点分析及对策，绿色健康装修重难点分析及对策，</w:t>
            </w:r>
            <w:r>
              <w:rPr>
                <w:sz w:val="21"/>
              </w:rPr>
              <w:t>且</w:t>
            </w:r>
            <w:r>
              <w:rPr>
                <w:sz w:val="21"/>
              </w:rPr>
              <w:t>分析全面、透彻、有针对性。</w:t>
            </w:r>
          </w:p>
          <w:p>
            <w:pPr>
              <w:jc w:val="left"/>
            </w:pPr>
            <w:r>
              <w:rPr>
                <w:b/>
                <w:sz w:val="21"/>
              </w:rPr>
              <w:t>1.12</w:t>
            </w:r>
            <w:r>
              <w:rPr>
                <w:b/>
                <w:sz w:val="21"/>
              </w:rPr>
              <w:t>拟派项目团队成员（各岗位人员不得相互兼职）</w:t>
            </w:r>
            <w:r>
              <w:rPr>
                <w:b/>
                <w:sz w:val="21"/>
              </w:rPr>
              <w:t xml:space="preserve"> </w:t>
            </w:r>
          </w:p>
          <w:p>
            <w:pPr>
              <w:ind w:firstLine="420"/>
              <w:jc w:val="both"/>
            </w:pPr>
            <w:r>
              <w:rPr>
                <w:sz w:val="21"/>
              </w:rPr>
              <w:t>项目负责人（</w:t>
            </w:r>
            <w:r>
              <w:rPr>
                <w:sz w:val="21"/>
              </w:rPr>
              <w:t>1人）：工程类中级或以上职称。具有多年</w:t>
            </w:r>
            <w:r>
              <w:rPr>
                <w:sz w:val="21"/>
              </w:rPr>
              <w:t>同类项目</w:t>
            </w:r>
            <w:r>
              <w:rPr>
                <w:sz w:val="21"/>
              </w:rPr>
              <w:t>工程施工经验。</w:t>
            </w:r>
          </w:p>
          <w:p>
            <w:pPr>
              <w:ind w:firstLine="420"/>
              <w:jc w:val="both"/>
            </w:pPr>
            <w:r>
              <w:rPr>
                <w:sz w:val="21"/>
              </w:rPr>
              <w:t>项目技术负责人（</w:t>
            </w:r>
            <w:r>
              <w:rPr>
                <w:sz w:val="21"/>
              </w:rPr>
              <w:t>1人）：工程类中级或以上职称。具有多年工程施工经验（以职称证书发证时间起算）。</w:t>
            </w:r>
          </w:p>
          <w:p>
            <w:pPr>
              <w:ind w:firstLine="420"/>
              <w:jc w:val="both"/>
            </w:pPr>
            <w:r>
              <w:rPr>
                <w:sz w:val="21"/>
              </w:rPr>
              <w:t>质检（量）员（</w:t>
            </w:r>
            <w:r>
              <w:rPr>
                <w:sz w:val="21"/>
              </w:rPr>
              <w:t>1人）：具有质量员或质检员的岗位证或培训证；具有工程类中级或以上职称</w:t>
            </w:r>
            <w:r>
              <w:rPr>
                <w:sz w:val="21"/>
              </w:rPr>
              <w:t>。</w:t>
            </w:r>
          </w:p>
          <w:p>
            <w:pPr>
              <w:ind w:firstLine="420"/>
              <w:jc w:val="both"/>
            </w:pPr>
            <w:r>
              <w:rPr>
                <w:sz w:val="21"/>
              </w:rPr>
              <w:t>施工员（</w:t>
            </w:r>
            <w:r>
              <w:rPr>
                <w:sz w:val="21"/>
              </w:rPr>
              <w:t>3</w:t>
            </w:r>
            <w:r>
              <w:rPr>
                <w:sz w:val="21"/>
              </w:rPr>
              <w:t>人）：具有施工员岗位证或培训证</w:t>
            </w:r>
            <w:r>
              <w:rPr>
                <w:sz w:val="21"/>
              </w:rPr>
              <w:t>。</w:t>
            </w:r>
          </w:p>
          <w:p>
            <w:pPr>
              <w:ind w:firstLine="420"/>
              <w:jc w:val="both"/>
            </w:pPr>
            <w:r>
              <w:rPr>
                <w:sz w:val="21"/>
              </w:rPr>
              <w:t>专职</w:t>
            </w:r>
            <w:r>
              <w:rPr>
                <w:sz w:val="21"/>
              </w:rPr>
              <w:t>安全员（</w:t>
            </w:r>
            <w:r>
              <w:rPr>
                <w:sz w:val="21"/>
              </w:rPr>
              <w:t>1人）：具有安全员岗位证或培训证</w:t>
            </w:r>
            <w:r>
              <w:rPr>
                <w:sz w:val="21"/>
              </w:rPr>
              <w:t>。</w:t>
            </w:r>
          </w:p>
          <w:p>
            <w:pPr>
              <w:jc w:val="both"/>
            </w:pPr>
            <w:r>
              <w:rPr>
                <w:b/>
                <w:sz w:val="21"/>
              </w:rPr>
              <w:t>2、</w:t>
            </w:r>
            <w:r>
              <w:rPr>
                <w:b/>
                <w:sz w:val="21"/>
              </w:rPr>
              <w:t>图纸及工程量清单（</w:t>
            </w:r>
            <w:r>
              <w:rPr>
                <w:b/>
                <w:sz w:val="21"/>
              </w:rPr>
              <w:t>详见附件</w:t>
            </w:r>
            <w:r>
              <w:rPr>
                <w:b/>
                <w:sz w:val="21"/>
              </w:rPr>
              <w:t>）</w:t>
            </w:r>
          </w:p>
          <w:p>
            <w:pPr>
              <w:jc w:val="both"/>
            </w:pPr>
            <w:r>
              <w:rPr>
                <w:b/>
                <w:sz w:val="21"/>
              </w:rPr>
              <w:t>3、</w:t>
            </w:r>
            <w:r>
              <w:rPr>
                <w:b/>
                <w:sz w:val="21"/>
              </w:rPr>
              <w:t>设备技术参数要求（后附）</w:t>
            </w:r>
          </w:p>
          <w:p>
            <w:pPr>
              <w:jc w:val="both"/>
            </w:pPr>
            <w:r>
              <w:rPr>
                <w:b/>
                <w:sz w:val="21"/>
              </w:rPr>
              <w:t>4、</w:t>
            </w:r>
            <w:r>
              <w:rPr>
                <w:b/>
                <w:sz w:val="21"/>
              </w:rPr>
              <w:t>设备价格分析表</w:t>
            </w:r>
          </w:p>
          <w:tbl>
            <w:tblPr>
              <w:tblBorders>
                <w:top w:val="none" w:color="000000" w:sz="4"/>
                <w:left w:val="none" w:color="000000" w:sz="4"/>
                <w:bottom w:val="none" w:color="000000" w:sz="4"/>
                <w:right w:val="none" w:color="000000" w:sz="4"/>
                <w:insideH w:val="none"/>
                <w:insideV w:val="none"/>
              </w:tblBorders>
            </w:tblPr>
            <w:tblGrid>
              <w:gridCol w:w="359"/>
              <w:gridCol w:w="877"/>
              <w:gridCol w:w="976"/>
              <w:gridCol w:w="538"/>
              <w:gridCol w:w="618"/>
              <w:gridCol w:w="657"/>
              <w:gridCol w:w="787"/>
              <w:gridCol w:w="787"/>
            </w:tblGrid>
            <w:tr>
              <w:tc>
                <w:tcPr>
                  <w:tcW w:type="dxa" w:w="1236"/>
                  <w:gridSpan w:val="2"/>
                  <w:tcBorders>
                    <w:top w:val="single" w:color="000000" w:sz="4"/>
                    <w:left w:val="single" w:color="000000" w:sz="4"/>
                    <w:bottom w:val="single" w:color="000000" w:sz="4"/>
                    <w:right w:val="single" w:color="000000" w:sz="4"/>
                  </w:tcBorders>
                  <w:vAlign w:val="top"/>
                </w:tcPr>
                <w:p>
                  <w:pPr>
                    <w:jc w:val="left"/>
                  </w:pPr>
                  <w:r>
                    <w:rPr>
                      <w:sz w:val="21"/>
                    </w:rPr>
                    <w:t>配电箱编号</w:t>
                  </w:r>
                </w:p>
              </w:tc>
              <w:tc>
                <w:tcPr>
                  <w:tcW w:type="dxa" w:w="976"/>
                  <w:tcBorders>
                    <w:top w:val="single" w:color="000000" w:sz="4"/>
                    <w:left w:val="none" w:color="000000" w:sz="4"/>
                    <w:bottom w:val="single" w:color="000000" w:sz="4"/>
                    <w:right w:val="single" w:color="000000" w:sz="4"/>
                  </w:tcBorders>
                  <w:vAlign w:val="top"/>
                </w:tcPr>
                <w:p>
                  <w:pPr>
                    <w:jc w:val="center"/>
                  </w:pPr>
                </w:p>
              </w:tc>
              <w:tc>
                <w:tcPr>
                  <w:tcW w:type="dxa" w:w="1156"/>
                  <w:gridSpan w:val="2"/>
                  <w:tcBorders>
                    <w:top w:val="single" w:color="000000" w:sz="4"/>
                    <w:left w:val="none" w:color="000000" w:sz="4"/>
                    <w:bottom w:val="single" w:color="000000" w:sz="4"/>
                    <w:right w:val="single" w:color="000000" w:sz="4"/>
                  </w:tcBorders>
                  <w:vAlign w:val="top"/>
                </w:tcPr>
                <w:p>
                  <w:pPr>
                    <w:jc w:val="left"/>
                  </w:pPr>
                  <w:r>
                    <w:rPr>
                      <w:sz w:val="21"/>
                    </w:rPr>
                    <w:t>设计图号</w:t>
                  </w:r>
                </w:p>
              </w:tc>
              <w:tc>
                <w:tcPr>
                  <w:tcW w:type="dxa" w:w="2231"/>
                  <w:gridSpan w:val="3"/>
                  <w:tcBorders>
                    <w:top w:val="single" w:color="000000" w:sz="4"/>
                    <w:left w:val="none" w:color="000000" w:sz="4"/>
                    <w:bottom w:val="single" w:color="000000" w:sz="4"/>
                    <w:right w:val="single" w:color="000000" w:sz="4"/>
                  </w:tcBorders>
                  <w:vAlign w:val="top"/>
                </w:tcPr>
                <w:p>
                  <w:pPr>
                    <w:jc w:val="center"/>
                  </w:pP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877"/>
                  <w:tcBorders>
                    <w:top w:val="none" w:color="000000" w:sz="4"/>
                    <w:left w:val="none" w:color="000000" w:sz="4"/>
                    <w:bottom w:val="single" w:color="000000" w:sz="4"/>
                    <w:right w:val="single" w:color="000000" w:sz="4"/>
                  </w:tcBorders>
                  <w:vAlign w:val="top"/>
                </w:tcPr>
                <w:p>
                  <w:pPr>
                    <w:jc w:val="center"/>
                  </w:pPr>
                  <w:r>
                    <w:rPr>
                      <w:sz w:val="21"/>
                    </w:rPr>
                    <w:t>部件名称</w:t>
                  </w:r>
                </w:p>
              </w:tc>
              <w:tc>
                <w:tcPr>
                  <w:tcW w:type="dxa" w:w="976"/>
                  <w:tcBorders>
                    <w:top w:val="none" w:color="000000" w:sz="4"/>
                    <w:left w:val="none" w:color="000000" w:sz="4"/>
                    <w:bottom w:val="single" w:color="000000" w:sz="4"/>
                    <w:right w:val="single" w:color="000000" w:sz="4"/>
                  </w:tcBorders>
                  <w:vAlign w:val="top"/>
                </w:tcPr>
                <w:p>
                  <w:pPr>
                    <w:jc w:val="center"/>
                  </w:pPr>
                  <w:r>
                    <w:rPr>
                      <w:sz w:val="21"/>
                    </w:rPr>
                    <w:t>型号规格</w:t>
                  </w:r>
                </w:p>
              </w:tc>
              <w:tc>
                <w:tcPr>
                  <w:tcW w:type="dxa" w:w="538"/>
                  <w:tcBorders>
                    <w:top w:val="none" w:color="000000" w:sz="4"/>
                    <w:left w:val="none" w:color="000000" w:sz="4"/>
                    <w:bottom w:val="single" w:color="000000" w:sz="4"/>
                    <w:right w:val="single" w:color="000000" w:sz="4"/>
                  </w:tcBorders>
                  <w:vAlign w:val="top"/>
                </w:tcPr>
                <w:p>
                  <w:pPr>
                    <w:jc w:val="center"/>
                  </w:pPr>
                  <w:r>
                    <w:rPr>
                      <w:sz w:val="21"/>
                    </w:rPr>
                    <w:t>单位</w:t>
                  </w:r>
                </w:p>
              </w:tc>
              <w:tc>
                <w:tcPr>
                  <w:tcW w:type="dxa" w:w="618"/>
                  <w:tcBorders>
                    <w:top w:val="none" w:color="000000" w:sz="4"/>
                    <w:left w:val="none" w:color="000000" w:sz="4"/>
                    <w:bottom w:val="none" w:color="000000" w:sz="4"/>
                    <w:right w:val="single" w:color="000000" w:sz="4"/>
                  </w:tcBorders>
                  <w:vAlign w:val="top"/>
                </w:tcPr>
                <w:p>
                  <w:pPr>
                    <w:jc w:val="center"/>
                  </w:pPr>
                  <w:r>
                    <w:rPr>
                      <w:sz w:val="21"/>
                    </w:rPr>
                    <w:t>数量</w:t>
                  </w:r>
                </w:p>
              </w:tc>
              <w:tc>
                <w:tcPr>
                  <w:tcW w:type="dxa" w:w="657"/>
                  <w:tcBorders>
                    <w:top w:val="none" w:color="000000" w:sz="4"/>
                    <w:left w:val="none" w:color="000000" w:sz="4"/>
                    <w:bottom w:val="single" w:color="000000" w:sz="4"/>
                    <w:right w:val="single" w:color="000000" w:sz="4"/>
                  </w:tcBorders>
                  <w:vAlign w:val="top"/>
                </w:tcPr>
                <w:p>
                  <w:pPr>
                    <w:jc w:val="center"/>
                  </w:pPr>
                  <w:r>
                    <w:rPr>
                      <w:sz w:val="21"/>
                    </w:rPr>
                    <w:t>单价</w:t>
                  </w:r>
                </w:p>
              </w:tc>
              <w:tc>
                <w:tcPr>
                  <w:tcW w:type="dxa" w:w="787"/>
                  <w:tcBorders>
                    <w:top w:val="none" w:color="000000" w:sz="4"/>
                    <w:left w:val="none" w:color="000000" w:sz="4"/>
                    <w:bottom w:val="single" w:color="000000" w:sz="4"/>
                    <w:right w:val="single" w:color="000000" w:sz="4"/>
                  </w:tcBorders>
                  <w:vAlign w:val="top"/>
                </w:tcPr>
                <w:p>
                  <w:pPr>
                    <w:jc w:val="center"/>
                  </w:pPr>
                  <w:r>
                    <w:rPr>
                      <w:sz w:val="21"/>
                    </w:rPr>
                    <w:t>合价</w:t>
                  </w:r>
                </w:p>
              </w:tc>
              <w:tc>
                <w:tcPr>
                  <w:tcW w:type="dxa" w:w="787"/>
                  <w:tcBorders>
                    <w:top w:val="none" w:color="000000" w:sz="4"/>
                    <w:left w:val="none" w:color="000000" w:sz="4"/>
                    <w:bottom w:val="single" w:color="000000" w:sz="4"/>
                    <w:right w:val="single" w:color="000000" w:sz="4"/>
                  </w:tcBorders>
                  <w:vAlign w:val="top"/>
                </w:tcPr>
                <w:p>
                  <w:pPr>
                    <w:jc w:val="center"/>
                  </w:pPr>
                  <w:r>
                    <w:rPr>
                      <w:sz w:val="21"/>
                    </w:rPr>
                    <w:t>备注</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77"/>
                  <w:tcBorders>
                    <w:top w:val="none" w:color="000000" w:sz="4"/>
                    <w:left w:val="none" w:color="000000" w:sz="4"/>
                    <w:bottom w:val="single" w:color="000000" w:sz="4"/>
                    <w:right w:val="single" w:color="000000" w:sz="4"/>
                  </w:tcBorders>
                  <w:vAlign w:val="top"/>
                </w:tcPr>
                <w:p>
                  <w:pPr>
                    <w:jc w:val="left"/>
                  </w:pPr>
                  <w:r>
                    <w:rPr>
                      <w:sz w:val="21"/>
                    </w:rPr>
                    <w:t>箱体</w:t>
                  </w:r>
                </w:p>
              </w:tc>
              <w:tc>
                <w:tcPr>
                  <w:tcW w:type="dxa" w:w="976"/>
                  <w:tcBorders>
                    <w:top w:val="none" w:color="000000" w:sz="4"/>
                    <w:left w:val="none" w:color="000000" w:sz="4"/>
                    <w:bottom w:val="single" w:color="000000" w:sz="4"/>
                    <w:right w:val="single" w:color="000000" w:sz="4"/>
                  </w:tcBorders>
                  <w:vAlign w:val="top"/>
                </w:tcPr>
                <w:p>
                  <w:pPr>
                    <w:jc w:val="left"/>
                  </w:pPr>
                  <w:r>
                    <w:rPr>
                      <w:sz w:val="21"/>
                    </w:rPr>
                    <w:t>（长</w:t>
                  </w:r>
                  <w:r>
                    <w:rPr>
                      <w:sz w:val="21"/>
                    </w:rPr>
                    <w:t>×宽×高）</w:t>
                  </w:r>
                </w:p>
              </w:tc>
              <w:tc>
                <w:tcPr>
                  <w:tcW w:type="dxa" w:w="5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8"/>
                  <w:tcBorders>
                    <w:top w:val="single" w:color="000000" w:sz="4"/>
                    <w:left w:val="none" w:color="000000" w:sz="4"/>
                    <w:bottom w:val="single" w:color="000000" w:sz="4"/>
                    <w:right w:val="single" w:color="000000" w:sz="4"/>
                  </w:tcBorders>
                  <w:vAlign w:val="top"/>
                </w:tcPr>
                <w:p>
                  <w:pPr>
                    <w:jc w:val="center"/>
                  </w:pPr>
                </w:p>
              </w:tc>
              <w:tc>
                <w:tcPr>
                  <w:tcW w:type="dxa" w:w="65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center"/>
                  </w:pP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77"/>
                  <w:tcBorders>
                    <w:top w:val="none" w:color="000000" w:sz="4"/>
                    <w:left w:val="none" w:color="000000" w:sz="4"/>
                    <w:bottom w:val="single" w:color="000000" w:sz="4"/>
                    <w:right w:val="single" w:color="000000" w:sz="4"/>
                  </w:tcBorders>
                  <w:vAlign w:val="top"/>
                </w:tcPr>
                <w:p>
                  <w:pPr>
                    <w:jc w:val="left"/>
                  </w:pPr>
                  <w:r>
                    <w:rPr>
                      <w:sz w:val="21"/>
                    </w:rPr>
                    <w:t>主元器件</w:t>
                  </w:r>
                </w:p>
              </w:tc>
              <w:tc>
                <w:tcPr>
                  <w:tcW w:type="dxa" w:w="976"/>
                  <w:tcBorders>
                    <w:top w:val="none" w:color="000000" w:sz="4"/>
                    <w:left w:val="none" w:color="000000" w:sz="4"/>
                    <w:bottom w:val="single" w:color="000000" w:sz="4"/>
                    <w:right w:val="single" w:color="000000" w:sz="4"/>
                  </w:tcBorders>
                  <w:vAlign w:val="top"/>
                </w:tcPr>
                <w:p>
                  <w:pPr>
                    <w:jc w:val="left"/>
                  </w:pPr>
                  <w:r>
                    <w:rPr>
                      <w:sz w:val="21"/>
                    </w:rPr>
                    <w:t>（按分类）</w:t>
                  </w:r>
                </w:p>
              </w:tc>
              <w:tc>
                <w:tcPr>
                  <w:tcW w:type="dxa" w:w="538"/>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left"/>
                  </w:pPr>
                </w:p>
              </w:tc>
            </w:tr>
            <w:tr>
              <w:tc>
                <w:tcPr>
                  <w:tcW w:type="dxa" w:w="359"/>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left"/>
                  </w:pPr>
                  <w:r>
                    <w:rPr>
                      <w:sz w:val="21"/>
                    </w:rPr>
                    <w:t>断路器</w:t>
                  </w:r>
                  <w:r>
                    <w:rPr>
                      <w:sz w:val="21"/>
                    </w:rPr>
                    <w:t>1</w:t>
                  </w:r>
                </w:p>
              </w:tc>
              <w:tc>
                <w:tcPr>
                  <w:tcW w:type="dxa" w:w="976"/>
                  <w:tcBorders>
                    <w:top w:val="none" w:color="000000" w:sz="4"/>
                    <w:left w:val="none" w:color="000000" w:sz="4"/>
                    <w:bottom w:val="single" w:color="000000" w:sz="4"/>
                    <w:right w:val="single" w:color="000000" w:sz="4"/>
                  </w:tcBorders>
                  <w:vAlign w:val="top"/>
                </w:tcPr>
                <w:p>
                  <w:pPr>
                    <w:jc w:val="left"/>
                  </w:pPr>
                </w:p>
              </w:tc>
              <w:tc>
                <w:tcPr>
                  <w:tcW w:type="dxa" w:w="5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left"/>
                  </w:pPr>
                </w:p>
              </w:tc>
            </w:tr>
            <w:tr>
              <w:tc>
                <w:tcPr>
                  <w:tcW w:type="dxa" w:w="359"/>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left"/>
                  </w:pPr>
                  <w:r>
                    <w:rPr>
                      <w:sz w:val="21"/>
                    </w:rPr>
                    <w:t>断路器</w:t>
                  </w:r>
                  <w:r>
                    <w:rPr>
                      <w:sz w:val="21"/>
                    </w:rPr>
                    <w:t>2</w:t>
                  </w:r>
                </w:p>
              </w:tc>
              <w:tc>
                <w:tcPr>
                  <w:tcW w:type="dxa" w:w="976"/>
                  <w:tcBorders>
                    <w:top w:val="none" w:color="000000" w:sz="4"/>
                    <w:left w:val="none" w:color="000000" w:sz="4"/>
                    <w:bottom w:val="single" w:color="000000" w:sz="4"/>
                    <w:right w:val="single" w:color="000000" w:sz="4"/>
                  </w:tcBorders>
                  <w:vAlign w:val="top"/>
                </w:tcPr>
                <w:p>
                  <w:pPr>
                    <w:jc w:val="left"/>
                  </w:pPr>
                </w:p>
              </w:tc>
              <w:tc>
                <w:tcPr>
                  <w:tcW w:type="dxa" w:w="5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left"/>
                  </w:pPr>
                </w:p>
              </w:tc>
            </w:tr>
            <w:tr>
              <w:tc>
                <w:tcPr>
                  <w:tcW w:type="dxa" w:w="359"/>
                  <w:tcBorders>
                    <w:top w:val="none" w:color="000000" w:sz="4"/>
                    <w:left w:val="single" w:color="000000" w:sz="4"/>
                    <w:bottom w:val="single" w:color="000000" w:sz="4"/>
                    <w:right w:val="single" w:color="000000" w:sz="4"/>
                  </w:tcBorders>
                  <w:vAlign w:val="top"/>
                </w:tcPr>
                <w:p>
                  <w:pPr>
                    <w:jc w:val="center"/>
                  </w:pPr>
                </w:p>
              </w:tc>
              <w:tc>
                <w:tcPr>
                  <w:tcW w:type="dxa" w:w="877"/>
                  <w:tcBorders>
                    <w:top w:val="none" w:color="000000" w:sz="4"/>
                    <w:left w:val="none" w:color="000000" w:sz="4"/>
                    <w:bottom w:val="single" w:color="000000" w:sz="4"/>
                    <w:right w:val="single" w:color="000000" w:sz="4"/>
                  </w:tcBorders>
                  <w:vAlign w:val="top"/>
                </w:tcPr>
                <w:p>
                  <w:pPr>
                    <w:jc w:val="left"/>
                  </w:pPr>
                  <w:r>
                    <w:rPr>
                      <w:sz w:val="21"/>
                    </w:rPr>
                    <w:t>．．．．．</w:t>
                  </w:r>
                </w:p>
              </w:tc>
              <w:tc>
                <w:tcPr>
                  <w:tcW w:type="dxa" w:w="976"/>
                  <w:tcBorders>
                    <w:top w:val="none" w:color="000000" w:sz="4"/>
                    <w:left w:val="none" w:color="000000" w:sz="4"/>
                    <w:bottom w:val="single" w:color="000000" w:sz="4"/>
                    <w:right w:val="single" w:color="000000" w:sz="4"/>
                  </w:tcBorders>
                  <w:vAlign w:val="top"/>
                </w:tcPr>
                <w:p>
                  <w:pPr>
                    <w:jc w:val="left"/>
                  </w:pPr>
                </w:p>
              </w:tc>
              <w:tc>
                <w:tcPr>
                  <w:tcW w:type="dxa" w:w="538"/>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none" w:color="000000" w:sz="4"/>
                    <w:right w:val="single" w:color="000000" w:sz="4"/>
                  </w:tcBorders>
                  <w:vAlign w:val="top"/>
                </w:tcPr>
                <w:p>
                  <w:pPr>
                    <w:jc w:val="left"/>
                  </w:pPr>
                </w:p>
              </w:tc>
            </w:tr>
            <w:tr>
              <w:tc>
                <w:tcPr>
                  <w:tcW w:type="dxa" w:w="359"/>
                  <w:tcBorders>
                    <w:top w:val="none" w:color="000000" w:sz="4"/>
                    <w:left w:val="single" w:color="000000" w:sz="4"/>
                    <w:bottom w:val="single" w:color="000000" w:sz="4"/>
                    <w:right w:val="single" w:color="000000" w:sz="4"/>
                  </w:tcBorders>
                  <w:vAlign w:val="top"/>
                </w:tcPr>
                <w:p>
                  <w:pPr>
                    <w:jc w:val="center"/>
                  </w:pPr>
                </w:p>
              </w:tc>
              <w:tc>
                <w:tcPr>
                  <w:tcW w:type="dxa" w:w="1853"/>
                  <w:gridSpan w:val="2"/>
                  <w:tcBorders>
                    <w:top w:val="none" w:color="000000" w:sz="4"/>
                    <w:left w:val="none" w:color="000000" w:sz="4"/>
                    <w:bottom w:val="single" w:color="000000" w:sz="4"/>
                    <w:right w:val="single" w:color="000000" w:sz="4"/>
                  </w:tcBorders>
                  <w:vAlign w:val="top"/>
                </w:tcPr>
                <w:p>
                  <w:pPr>
                    <w:jc w:val="center"/>
                  </w:pPr>
                  <w:r>
                    <w:rPr>
                      <w:sz w:val="21"/>
                    </w:rPr>
                    <w:t>出线回路数</w:t>
                  </w:r>
                </w:p>
              </w:tc>
              <w:tc>
                <w:tcPr>
                  <w:tcW w:type="dxa" w:w="5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single" w:color="000000" w:sz="4"/>
                    <w:right w:val="none" w:color="000000" w:sz="4"/>
                  </w:tcBorders>
                  <w:vAlign w:val="top"/>
                </w:tcPr>
                <w:p>
                  <w:pPr>
                    <w:jc w:val="center"/>
                  </w:pPr>
                </w:p>
              </w:tc>
              <w:tc>
                <w:tcPr>
                  <w:tcW w:type="dxa" w:w="787"/>
                  <w:tcBorders>
                    <w:top w:val="none" w:color="000000" w:sz="4"/>
                    <w:left w:val="single" w:color="000000" w:sz="4"/>
                    <w:bottom w:val="single" w:color="000000" w:sz="4"/>
                    <w:right w:val="single" w:color="000000" w:sz="4"/>
                  </w:tcBorders>
                  <w:vAlign w:val="top"/>
                </w:tcPr>
                <w:p>
                  <w:pPr>
                    <w:jc w:val="both"/>
                  </w:pPr>
                  <w:r>
                    <w:rPr>
                      <w:sz w:val="21"/>
                    </w:rPr>
                    <w:t>本项不参与计价</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53"/>
                  <w:gridSpan w:val="2"/>
                  <w:tcBorders>
                    <w:top w:val="none" w:color="000000" w:sz="4"/>
                    <w:left w:val="none" w:color="000000" w:sz="4"/>
                    <w:bottom w:val="single" w:color="000000" w:sz="4"/>
                    <w:right w:val="single" w:color="000000" w:sz="4"/>
                  </w:tcBorders>
                  <w:vAlign w:val="top"/>
                </w:tcPr>
                <w:p>
                  <w:pPr>
                    <w:jc w:val="center"/>
                  </w:pPr>
                  <w:r>
                    <w:rPr>
                      <w:sz w:val="21"/>
                    </w:rPr>
                    <w:t>综合费</w:t>
                  </w:r>
                </w:p>
              </w:tc>
              <w:tc>
                <w:tcPr>
                  <w:tcW w:type="dxa" w:w="538"/>
                  <w:tcBorders>
                    <w:top w:val="none" w:color="000000" w:sz="4"/>
                    <w:left w:val="none" w:color="000000" w:sz="4"/>
                    <w:bottom w:val="single" w:color="000000" w:sz="4"/>
                    <w:right w:val="single" w:color="000000" w:sz="4"/>
                  </w:tcBorders>
                  <w:vAlign w:val="top"/>
                </w:tcPr>
                <w:p>
                  <w:pPr>
                    <w:jc w:val="center"/>
                  </w:pPr>
                  <w:r>
                    <w:rPr>
                      <w:sz w:val="21"/>
                    </w:rPr>
                    <w:t>项</w:t>
                  </w: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657"/>
                  <w:tcBorders>
                    <w:top w:val="none" w:color="000000" w:sz="4"/>
                    <w:left w:val="none" w:color="000000" w:sz="4"/>
                    <w:bottom w:val="single" w:color="000000" w:sz="4"/>
                    <w:right w:val="single" w:color="000000" w:sz="4"/>
                  </w:tcBorders>
                  <w:vAlign w:val="top"/>
                </w:tcPr>
                <w:p>
                  <w:pPr>
                    <w:jc w:val="center"/>
                  </w:pPr>
                </w:p>
              </w:tc>
              <w:tc>
                <w:tcPr>
                  <w:tcW w:type="dxa" w:w="787"/>
                  <w:tcBorders>
                    <w:top w:val="none" w:color="000000" w:sz="4"/>
                    <w:left w:val="none" w:color="000000" w:sz="4"/>
                    <w:bottom w:val="none" w:color="000000" w:sz="4"/>
                    <w:right w:val="none" w:color="000000" w:sz="4"/>
                  </w:tcBorders>
                  <w:vAlign w:val="top"/>
                </w:tcPr>
                <w:p>
                  <w:pPr>
                    <w:jc w:val="left"/>
                  </w:pPr>
                  <w:r>
                    <w:rPr>
                      <w:sz w:val="21"/>
                    </w:rPr>
                    <w:t>（</w:t>
                  </w:r>
                  <w:r>
                    <w:rPr>
                      <w:sz w:val="21"/>
                    </w:rPr>
                    <w:t>1+2）×综合费率</w:t>
                  </w:r>
                </w:p>
              </w:tc>
              <w:tc>
                <w:tcPr>
                  <w:tcW w:type="dxa" w:w="787"/>
                  <w:tcBorders>
                    <w:top w:val="none" w:color="000000" w:sz="4"/>
                    <w:left w:val="single" w:color="000000" w:sz="4"/>
                    <w:bottom w:val="single" w:color="000000" w:sz="4"/>
                    <w:right w:val="single" w:color="000000" w:sz="4"/>
                  </w:tcBorders>
                  <w:vAlign w:val="top"/>
                </w:tcPr>
                <w:p>
                  <w:pPr>
                    <w:jc w:val="left"/>
                  </w:pPr>
                </w:p>
              </w:tc>
            </w:tr>
            <w:tr>
              <w:tc>
                <w:tcPr>
                  <w:tcW w:type="dxa" w:w="2212"/>
                  <w:gridSpan w:val="3"/>
                  <w:tcBorders>
                    <w:top w:val="none" w:color="000000" w:sz="4"/>
                    <w:left w:val="single" w:color="000000" w:sz="4"/>
                    <w:bottom w:val="single" w:color="000000" w:sz="4"/>
                    <w:right w:val="single" w:color="000000" w:sz="4"/>
                  </w:tcBorders>
                  <w:vAlign w:val="top"/>
                </w:tcPr>
                <w:p>
                  <w:pPr>
                    <w:jc w:val="center"/>
                  </w:pPr>
                  <w:r>
                    <w:rPr>
                      <w:sz w:val="21"/>
                    </w:rPr>
                    <w:t>配电箱总价</w:t>
                  </w:r>
                  <w:r>
                    <w:rPr>
                      <w:sz w:val="21"/>
                    </w:rPr>
                    <w:t>(1+2+3)</w:t>
                  </w:r>
                </w:p>
              </w:tc>
              <w:tc>
                <w:tcPr>
                  <w:tcW w:type="dxa" w:w="3387"/>
                  <w:gridSpan w:val="5"/>
                  <w:tcBorders>
                    <w:top w:val="none" w:color="000000" w:sz="4"/>
                    <w:left w:val="none" w:color="000000" w:sz="4"/>
                    <w:bottom w:val="single" w:color="000000" w:sz="4"/>
                    <w:right w:val="single" w:color="000000" w:sz="4"/>
                  </w:tcBorders>
                  <w:vAlign w:val="top"/>
                </w:tcPr>
                <w:p>
                  <w:pPr>
                    <w:jc w:val="center"/>
                  </w:pPr>
                </w:p>
              </w:tc>
            </w:tr>
          </w:tbl>
          <w:p>
            <w:pPr>
              <w:jc w:val="both"/>
            </w:pPr>
            <w:r>
              <w:rPr>
                <w:sz w:val="21"/>
              </w:rPr>
              <w:t>★4.1本表中内容由供应商按采购人提供的设备清单和设计图纸，对每一类型成套设备规格/型号应分别填写。本项目中KYN柜5台、直流屏1台、GGD低压柜3台、GCK低压柜5套，必须提供本价格分析表，否则视为不响应采购需求。</w:t>
            </w:r>
          </w:p>
          <w:p>
            <w:pPr>
              <w:jc w:val="both"/>
            </w:pPr>
            <w:r>
              <w:rPr>
                <w:sz w:val="21"/>
              </w:rPr>
              <w:t>4.2主元器件是指断路器、接触器、中间继电器、热继电器、按钮开关、指示灯、万能转换开关和行程开关。</w:t>
            </w:r>
          </w:p>
          <w:p>
            <w:pPr>
              <w:jc w:val="both"/>
            </w:pPr>
            <w:r>
              <w:rPr>
                <w:sz w:val="21"/>
              </w:rPr>
              <w:t>4.3综合费费率按25%统一取定。</w:t>
            </w:r>
          </w:p>
          <w:p>
            <w:pPr>
              <w:jc w:val="both"/>
            </w:pPr>
            <w:r>
              <w:rPr>
                <w:sz w:val="21"/>
              </w:rPr>
              <w:t>★</w:t>
            </w:r>
            <w:r>
              <w:rPr>
                <w:sz w:val="21"/>
              </w:rPr>
              <w:t>4</w:t>
            </w:r>
            <w:r>
              <w:rPr>
                <w:sz w:val="21"/>
              </w:rPr>
              <w:t>.4以上设备价格分析表中计算出的各设备价格“设备总价”等于分部分项清单计价表中的“主材费”。</w:t>
            </w:r>
          </w:p>
          <w:p>
            <w:pPr>
              <w:ind w:firstLine="420"/>
              <w:jc w:val="both"/>
            </w:pPr>
          </w:p>
          <w:p>
            <w:pPr>
              <w:jc w:val="both"/>
            </w:pPr>
            <w:r>
              <w:rPr>
                <w:b/>
                <w:sz w:val="21"/>
              </w:rPr>
              <w:t>三、设备技术参数要求</w:t>
            </w:r>
          </w:p>
          <w:p>
            <w:pPr>
              <w:jc w:val="both"/>
            </w:pPr>
            <w:r>
              <w:rPr>
                <w:b/>
                <w:sz w:val="21"/>
              </w:rPr>
              <w:t>1、主要设备使用环境条件及国家强制标准</w:t>
            </w:r>
          </w:p>
          <w:p>
            <w:pPr>
              <w:ind w:firstLine="560"/>
              <w:jc w:val="both"/>
            </w:pPr>
            <w:r>
              <w:rPr>
                <w:sz w:val="21"/>
              </w:rPr>
              <w:t>本项目中的主要设备要满足如下使用环境条件和国家强制标准。</w:t>
            </w:r>
          </w:p>
          <w:p>
            <w:r>
              <w:rPr>
                <w:b/>
                <w:sz w:val="21"/>
              </w:rPr>
              <w:t>1.1使用环境条件</w:t>
            </w:r>
          </w:p>
          <w:p>
            <w:pPr>
              <w:ind w:firstLine="560"/>
              <w:jc w:val="both"/>
            </w:pPr>
            <w:r>
              <w:rPr>
                <w:sz w:val="21"/>
              </w:rPr>
              <w:t>海拨高度：</w:t>
            </w:r>
            <w:r>
              <w:rPr>
                <w:sz w:val="21"/>
              </w:rPr>
              <w:t>1000m</w:t>
            </w:r>
          </w:p>
          <w:p>
            <w:pPr>
              <w:ind w:firstLine="560"/>
              <w:jc w:val="both"/>
            </w:pPr>
            <w:r>
              <w:rPr>
                <w:sz w:val="21"/>
              </w:rPr>
              <w:t>最低温度：</w:t>
            </w:r>
            <w:r>
              <w:rPr>
                <w:sz w:val="21"/>
              </w:rPr>
              <w:t>-15℃</w:t>
            </w:r>
          </w:p>
          <w:p>
            <w:pPr>
              <w:ind w:firstLine="560"/>
              <w:jc w:val="both"/>
            </w:pPr>
            <w:r>
              <w:rPr>
                <w:sz w:val="21"/>
              </w:rPr>
              <w:t>相对温度：月平均相对湿大不大于</w:t>
            </w:r>
            <w:r>
              <w:rPr>
                <w:sz w:val="21"/>
              </w:rPr>
              <w:t>90%，日平均相对湿度不大于95%</w:t>
            </w:r>
          </w:p>
          <w:p>
            <w:pPr>
              <w:ind w:firstLine="560"/>
              <w:jc w:val="both"/>
            </w:pPr>
            <w:r>
              <w:rPr>
                <w:sz w:val="21"/>
              </w:rPr>
              <w:t>最高气温：</w:t>
            </w:r>
            <w:r>
              <w:rPr>
                <w:sz w:val="21"/>
              </w:rPr>
              <w:t>+40℃</w:t>
            </w:r>
          </w:p>
          <w:p>
            <w:pPr>
              <w:ind w:firstLine="560"/>
              <w:jc w:val="both"/>
            </w:pPr>
            <w:r>
              <w:rPr>
                <w:sz w:val="21"/>
              </w:rPr>
              <w:t>年平均气温：</w:t>
            </w:r>
            <w:r>
              <w:rPr>
                <w:sz w:val="21"/>
              </w:rPr>
              <w:t>24℃</w:t>
            </w:r>
          </w:p>
          <w:p>
            <w:pPr>
              <w:ind w:firstLine="560"/>
              <w:jc w:val="both"/>
            </w:pPr>
            <w:r>
              <w:rPr>
                <w:sz w:val="21"/>
              </w:rPr>
              <w:t>日最大温差：</w:t>
            </w:r>
            <w:r>
              <w:rPr>
                <w:sz w:val="21"/>
              </w:rPr>
              <w:t>25℃</w:t>
            </w:r>
          </w:p>
          <w:p>
            <w:pPr>
              <w:ind w:firstLine="560"/>
              <w:jc w:val="both"/>
            </w:pPr>
            <w:r>
              <w:rPr>
                <w:sz w:val="21"/>
              </w:rPr>
              <w:t>地震烈度：</w:t>
            </w:r>
            <w:r>
              <w:rPr>
                <w:sz w:val="21"/>
              </w:rPr>
              <w:t>8级</w:t>
            </w:r>
          </w:p>
          <w:p>
            <w:pPr>
              <w:ind w:firstLine="560"/>
              <w:jc w:val="both"/>
            </w:pPr>
            <w:r>
              <w:rPr>
                <w:sz w:val="21"/>
              </w:rPr>
              <w:t>污秽等级：</w:t>
            </w:r>
            <w:r>
              <w:rPr>
                <w:sz w:val="21"/>
              </w:rPr>
              <w:t>3级</w:t>
            </w:r>
          </w:p>
          <w:p>
            <w:r>
              <w:rPr>
                <w:b/>
                <w:sz w:val="21"/>
              </w:rPr>
              <w:t>1.2国家标准</w:t>
            </w:r>
          </w:p>
          <w:p>
            <w:pPr>
              <w:ind w:firstLine="560"/>
              <w:jc w:val="both"/>
            </w:pPr>
            <w:r>
              <w:rPr>
                <w:sz w:val="21"/>
              </w:rPr>
              <w:t>纳入《国家强制性产品认证目录》内的产品，供应商投标时应当提供</w:t>
            </w:r>
            <w:r>
              <w:rPr>
                <w:sz w:val="21"/>
              </w:rPr>
              <w:t>3C或CQC认证证书。</w:t>
            </w:r>
          </w:p>
          <w:p>
            <w:pPr>
              <w:jc w:val="both"/>
            </w:pPr>
          </w:p>
          <w:p>
            <w:pPr>
              <w:jc w:val="both"/>
            </w:pPr>
            <w:r>
              <w:rPr>
                <w:b/>
                <w:sz w:val="21"/>
              </w:rPr>
              <w:t>2、10kV干式电力变压器技术要求</w:t>
            </w:r>
          </w:p>
          <w:p>
            <w:r>
              <w:rPr>
                <w:b/>
                <w:sz w:val="21"/>
              </w:rPr>
              <w:t>2.1正常使用条件</w:t>
            </w:r>
          </w:p>
          <w:p>
            <w:r>
              <w:rPr>
                <w:sz w:val="21"/>
              </w:rPr>
              <w:t>2</w:t>
            </w:r>
            <w:r>
              <w:rPr>
                <w:sz w:val="21"/>
              </w:rPr>
              <w:t>.1.1</w:t>
            </w:r>
            <w:r>
              <w:rPr>
                <w:sz w:val="21"/>
              </w:rPr>
              <w:t>周围环境温度</w:t>
            </w:r>
          </w:p>
          <w:p>
            <w:r>
              <w:rPr>
                <w:sz w:val="21"/>
              </w:rPr>
              <w:t>最高温度：</w:t>
            </w:r>
            <w:r>
              <w:rPr>
                <w:sz w:val="21"/>
              </w:rPr>
              <w:t>+40℃</w:t>
            </w:r>
          </w:p>
          <w:p>
            <w:r>
              <w:rPr>
                <w:sz w:val="21"/>
              </w:rPr>
              <w:t>最高月平均气温：</w:t>
            </w:r>
            <w:r>
              <w:rPr>
                <w:sz w:val="21"/>
              </w:rPr>
              <w:t>+30℃</w:t>
            </w:r>
          </w:p>
          <w:p>
            <w:r>
              <w:rPr>
                <w:sz w:val="21"/>
              </w:rPr>
              <w:t>最高年平均气温：</w:t>
            </w:r>
            <w:r>
              <w:rPr>
                <w:sz w:val="21"/>
              </w:rPr>
              <w:t>+20℃</w:t>
            </w:r>
          </w:p>
          <w:p>
            <w:r>
              <w:rPr>
                <w:sz w:val="21"/>
              </w:rPr>
              <w:t>2</w:t>
            </w:r>
            <w:r>
              <w:rPr>
                <w:sz w:val="21"/>
              </w:rPr>
              <w:t>.1.2最低气温：</w:t>
            </w:r>
            <w:r>
              <w:rPr>
                <w:sz w:val="21"/>
              </w:rPr>
              <w:t xml:space="preserve"> </w:t>
            </w:r>
            <w:r>
              <w:rPr>
                <w:sz w:val="21"/>
              </w:rPr>
              <w:t>-5℃</w:t>
            </w:r>
          </w:p>
          <w:p>
            <w:r>
              <w:rPr>
                <w:sz w:val="21"/>
              </w:rPr>
              <w:t>2</w:t>
            </w:r>
            <w:r>
              <w:rPr>
                <w:sz w:val="21"/>
              </w:rPr>
              <w:t>.1.3海拔高度：     ≤1000m</w:t>
            </w:r>
          </w:p>
          <w:p>
            <w:r>
              <w:rPr>
                <w:sz w:val="21"/>
              </w:rPr>
              <w:t>2</w:t>
            </w:r>
            <w:r>
              <w:rPr>
                <w:sz w:val="21"/>
              </w:rPr>
              <w:t>.1.4环境相对湿度（在25℃时）</w:t>
            </w:r>
          </w:p>
          <w:p>
            <w:r>
              <w:rPr>
                <w:sz w:val="21"/>
              </w:rPr>
              <w:t>日平均值：</w:t>
            </w:r>
            <w:r>
              <w:rPr>
                <w:sz w:val="21"/>
              </w:rPr>
              <w:t xml:space="preserve">    </w:t>
            </w:r>
            <w:r>
              <w:rPr/>
              <w:t xml:space="preserve"> </w:t>
            </w:r>
            <w:r>
              <w:rPr>
                <w:sz w:val="21"/>
              </w:rPr>
              <w:t>95%</w:t>
            </w:r>
          </w:p>
          <w:p>
            <w:r>
              <w:rPr>
                <w:sz w:val="21"/>
              </w:rPr>
              <w:t>月平均值：</w:t>
            </w:r>
            <w:r>
              <w:rPr>
                <w:sz w:val="21"/>
              </w:rPr>
              <w:t xml:space="preserve">    </w:t>
            </w:r>
            <w:r>
              <w:rPr/>
              <w:t xml:space="preserve"> </w:t>
            </w:r>
            <w:r>
              <w:rPr>
                <w:sz w:val="21"/>
              </w:rPr>
              <w:t>90%</w:t>
            </w:r>
          </w:p>
          <w:p>
            <w:r>
              <w:rPr>
                <w:sz w:val="21"/>
              </w:rPr>
              <w:t>2</w:t>
            </w:r>
            <w:r>
              <w:rPr>
                <w:sz w:val="21"/>
              </w:rPr>
              <w:t>.1.5地震烈度：     Ⅷ度</w:t>
            </w:r>
          </w:p>
          <w:p>
            <w:r>
              <w:rPr>
                <w:sz w:val="21"/>
              </w:rPr>
              <w:t>2</w:t>
            </w:r>
            <w:r>
              <w:rPr>
                <w:sz w:val="21"/>
              </w:rPr>
              <w:t>.1.6覆冰厚度：     10mm</w:t>
            </w:r>
          </w:p>
          <w:p>
            <w:r>
              <w:rPr>
                <w:sz w:val="21"/>
              </w:rPr>
              <w:t>2</w:t>
            </w:r>
            <w:r>
              <w:rPr>
                <w:sz w:val="21"/>
              </w:rPr>
              <w:t>.1.7安装地点：     户内</w:t>
            </w:r>
          </w:p>
          <w:p>
            <w:r>
              <w:rPr>
                <w:sz w:val="21"/>
              </w:rPr>
              <w:t>2</w:t>
            </w:r>
            <w:r>
              <w:rPr>
                <w:sz w:val="21"/>
              </w:rPr>
              <w:t>.1.8污秽等级：     户內≥Ⅱ级</w:t>
            </w:r>
          </w:p>
          <w:p>
            <w:r>
              <w:rPr>
                <w:b/>
                <w:sz w:val="21"/>
              </w:rPr>
              <w:t>2.2设计与结构要求</w:t>
            </w:r>
          </w:p>
          <w:p>
            <w:r>
              <w:rPr>
                <w:sz w:val="21"/>
              </w:rPr>
              <w:t>2</w:t>
            </w:r>
            <w:r>
              <w:rPr>
                <w:sz w:val="21"/>
              </w:rPr>
              <w:t>.2.1一般要求</w:t>
            </w:r>
          </w:p>
          <w:p>
            <w:r>
              <w:rPr>
                <w:sz w:val="21"/>
              </w:rPr>
              <w:t>2</w:t>
            </w:r>
            <w:r>
              <w:rPr>
                <w:sz w:val="21"/>
              </w:rPr>
              <w:t>.2.1.1 变压器的联结组标号宜选用Dyn11。</w:t>
            </w:r>
          </w:p>
          <w:p>
            <w:r>
              <w:rPr>
                <w:sz w:val="21"/>
              </w:rPr>
              <w:t>2</w:t>
            </w:r>
            <w:r>
              <w:rPr>
                <w:sz w:val="21"/>
              </w:rPr>
              <w:t>.2.1.2 绝缘水平</w:t>
            </w:r>
          </w:p>
          <w:p>
            <w:r>
              <w:rPr>
                <w:sz w:val="21"/>
              </w:rPr>
              <w:t>变压器的每一绕组及中性点端子的绝缘水平和试验电压见表</w:t>
            </w:r>
            <w:r>
              <w:rPr>
                <w:sz w:val="21"/>
              </w:rPr>
              <w:t>5.2。</w:t>
            </w:r>
          </w:p>
          <w:p>
            <w:pPr>
              <w:jc w:val="center"/>
            </w:pPr>
            <w:r>
              <w:rPr>
                <w:sz w:val="21"/>
              </w:rPr>
              <w:t>表</w:t>
            </w:r>
            <w:r>
              <w:rPr>
                <w:sz w:val="21"/>
              </w:rPr>
              <w:t>5.2    变压器的绕组的绝缘水平和试验电压</w:t>
            </w:r>
          </w:p>
          <w:tbl>
            <w:tblPr>
              <w:tblBorders>
                <w:top w:val="none" w:color="000000" w:sz="4"/>
                <w:left w:val="none" w:color="000000" w:sz="4"/>
                <w:bottom w:val="none" w:color="000000" w:sz="4"/>
                <w:right w:val="none" w:color="000000" w:sz="4"/>
                <w:insideH w:val="none"/>
                <w:insideV w:val="none"/>
              </w:tblBorders>
            </w:tblPr>
            <w:tblGrid>
              <w:gridCol w:w="1141"/>
              <w:gridCol w:w="1806"/>
              <w:gridCol w:w="1302"/>
              <w:gridCol w:w="1350"/>
            </w:tblGrid>
            <w:tr>
              <w:tc>
                <w:tcPr>
                  <w:tcW w:type="dxa" w:w="1141"/>
                  <w:vMerge w:val="restart"/>
                  <w:tcBorders>
                    <w:top w:val="single" w:color="000000" w:sz="8"/>
                    <w:left w:val="single" w:color="000000" w:sz="8"/>
                    <w:bottom w:val="single" w:color="000000" w:sz="4"/>
                    <w:right w:val="single" w:color="000000" w:sz="4"/>
                  </w:tcBorders>
                  <w:vAlign w:val="top"/>
                </w:tcPr>
                <w:p>
                  <w:pPr>
                    <w:jc w:val="center"/>
                  </w:pPr>
                  <w:r>
                    <w:rPr>
                      <w:sz w:val="21"/>
                    </w:rPr>
                    <w:t>绕组电压等级</w:t>
                  </w:r>
                </w:p>
                <w:p>
                  <w:pPr>
                    <w:jc w:val="center"/>
                  </w:pPr>
                  <w:r>
                    <w:rPr>
                      <w:sz w:val="21"/>
                    </w:rPr>
                    <w:t>kV</w:t>
                  </w:r>
                </w:p>
              </w:tc>
              <w:tc>
                <w:tcPr>
                  <w:tcW w:type="dxa" w:w="1806"/>
                  <w:vMerge w:val="restart"/>
                  <w:tcBorders>
                    <w:top w:val="single" w:color="000000" w:sz="8"/>
                    <w:left w:val="single" w:color="000000" w:sz="4"/>
                    <w:bottom w:val="single" w:color="000000" w:sz="4"/>
                    <w:right w:val="single" w:color="000000" w:sz="4"/>
                  </w:tcBorders>
                  <w:vAlign w:val="top"/>
                </w:tcPr>
                <w:p>
                  <w:pPr>
                    <w:jc w:val="center"/>
                  </w:pPr>
                  <w:r>
                    <w:rPr>
                      <w:sz w:val="21"/>
                    </w:rPr>
                    <w:t>额定短时工频耐受电压</w:t>
                  </w:r>
                </w:p>
                <w:p>
                  <w:pPr>
                    <w:jc w:val="center"/>
                  </w:pPr>
                  <w:r>
                    <w:rPr>
                      <w:sz w:val="21"/>
                    </w:rPr>
                    <w:t>（有效值）</w:t>
                  </w:r>
                  <w:r>
                    <w:rPr>
                      <w:sz w:val="21"/>
                    </w:rPr>
                    <w:t>kV</w:t>
                  </w:r>
                </w:p>
              </w:tc>
              <w:tc>
                <w:tcPr>
                  <w:tcW w:type="dxa" w:w="2652"/>
                  <w:gridSpan w:val="2"/>
                  <w:tcBorders>
                    <w:top w:val="single" w:color="000000" w:sz="8"/>
                    <w:left w:val="single" w:color="000000" w:sz="4"/>
                    <w:bottom w:val="single" w:color="000000" w:sz="4"/>
                    <w:right w:val="single" w:color="000000" w:sz="8"/>
                  </w:tcBorders>
                  <w:vAlign w:val="top"/>
                </w:tcPr>
                <w:p>
                  <w:pPr>
                    <w:jc w:val="center"/>
                  </w:pPr>
                  <w:r>
                    <w:rPr>
                      <w:sz w:val="21"/>
                    </w:rPr>
                    <w:t>额定雷电冲击耐受电压（峰值）</w:t>
                  </w:r>
                  <w:r>
                    <w:rPr>
                      <w:sz w:val="21"/>
                    </w:rPr>
                    <w:t>kV</w:t>
                  </w:r>
                </w:p>
              </w:tc>
            </w:tr>
            <w:tr>
              <w:tc>
                <w:tcPr>
                  <w:tcW w:type="dxa" w:w="1141"/>
                  <w:vMerge/>
                  <w:tcBorders>
                    <w:top w:val="single" w:color="000000" w:sz="8"/>
                    <w:left w:val="single" w:color="000000" w:sz="8"/>
                    <w:bottom w:val="single" w:color="000000" w:sz="4"/>
                    <w:right w:val="single" w:color="000000" w:sz="4"/>
                  </w:tcBorders>
                </w:tcPr>
                <w:p/>
              </w:tc>
              <w:tc>
                <w:tcPr>
                  <w:tcW w:type="dxa" w:w="1806"/>
                  <w:vMerge/>
                  <w:tcBorders>
                    <w:top w:val="single" w:color="000000" w:sz="8"/>
                    <w:left w:val="single" w:color="000000" w:sz="4"/>
                    <w:bottom w:val="single" w:color="000000" w:sz="4"/>
                    <w:right w:val="single" w:color="000000" w:sz="4"/>
                  </w:tcBorders>
                </w:tcPr>
                <w:p/>
              </w:tc>
              <w:tc>
                <w:tcPr>
                  <w:tcW w:type="dxa" w:w="1302"/>
                  <w:tcBorders>
                    <w:top w:val="single" w:color="000000" w:sz="4"/>
                    <w:left w:val="single" w:color="000000" w:sz="4"/>
                    <w:bottom w:val="single" w:color="000000" w:sz="4"/>
                    <w:right w:val="single" w:color="000000" w:sz="4"/>
                  </w:tcBorders>
                  <w:vAlign w:val="top"/>
                </w:tcPr>
                <w:p>
                  <w:pPr>
                    <w:jc w:val="center"/>
                  </w:pPr>
                  <w:r>
                    <w:rPr>
                      <w:sz w:val="21"/>
                    </w:rPr>
                    <w:t>全波</w:t>
                  </w:r>
                </w:p>
              </w:tc>
              <w:tc>
                <w:tcPr>
                  <w:tcW w:type="dxa" w:w="1350"/>
                  <w:tcBorders>
                    <w:top w:val="single" w:color="000000" w:sz="4"/>
                    <w:left w:val="single" w:color="000000" w:sz="4"/>
                    <w:bottom w:val="single" w:color="000000" w:sz="4"/>
                    <w:right w:val="single" w:color="000000" w:sz="8"/>
                  </w:tcBorders>
                  <w:vAlign w:val="top"/>
                </w:tcPr>
                <w:p>
                  <w:pPr>
                    <w:jc w:val="center"/>
                  </w:pPr>
                  <w:r>
                    <w:rPr>
                      <w:sz w:val="21"/>
                    </w:rPr>
                    <w:t>截波</w:t>
                  </w:r>
                </w:p>
              </w:tc>
            </w:tr>
            <w:tr>
              <w:tc>
                <w:tcPr>
                  <w:tcW w:type="dxa" w:w="1141"/>
                  <w:tcBorders>
                    <w:top w:val="single" w:color="000000" w:sz="4"/>
                    <w:left w:val="single" w:color="000000" w:sz="8"/>
                    <w:bottom w:val="single" w:color="000000" w:sz="4"/>
                    <w:right w:val="single" w:color="000000" w:sz="4"/>
                  </w:tcBorders>
                  <w:vAlign w:val="top"/>
                </w:tcPr>
                <w:p>
                  <w:pPr>
                    <w:jc w:val="center"/>
                  </w:pPr>
                  <w:r>
                    <w:rPr>
                      <w:sz w:val="21"/>
                    </w:rPr>
                    <w:t>10</w:t>
                  </w:r>
                </w:p>
              </w:tc>
              <w:tc>
                <w:tcPr>
                  <w:tcW w:type="dxa" w:w="1806"/>
                  <w:tcBorders>
                    <w:top w:val="single" w:color="000000" w:sz="4"/>
                    <w:left w:val="single" w:color="000000" w:sz="4"/>
                    <w:bottom w:val="single" w:color="000000" w:sz="4"/>
                    <w:right w:val="single" w:color="000000" w:sz="4"/>
                  </w:tcBorders>
                  <w:vAlign w:val="top"/>
                </w:tcPr>
                <w:p>
                  <w:pPr>
                    <w:jc w:val="center"/>
                  </w:pPr>
                  <w:r>
                    <w:rPr>
                      <w:sz w:val="21"/>
                    </w:rPr>
                    <w:t>35</w:t>
                  </w:r>
                </w:p>
              </w:tc>
              <w:tc>
                <w:tcPr>
                  <w:tcW w:type="dxa" w:w="1302"/>
                  <w:tcBorders>
                    <w:top w:val="single" w:color="000000" w:sz="4"/>
                    <w:left w:val="single" w:color="000000" w:sz="4"/>
                    <w:bottom w:val="single" w:color="000000" w:sz="4"/>
                    <w:right w:val="single" w:color="000000" w:sz="4"/>
                  </w:tcBorders>
                  <w:vAlign w:val="top"/>
                </w:tcPr>
                <w:p>
                  <w:pPr>
                    <w:jc w:val="center"/>
                  </w:pPr>
                  <w:r>
                    <w:rPr>
                      <w:sz w:val="21"/>
                    </w:rPr>
                    <w:t>75</w:t>
                  </w:r>
                </w:p>
              </w:tc>
              <w:tc>
                <w:tcPr>
                  <w:tcW w:type="dxa" w:w="1350"/>
                  <w:tcBorders>
                    <w:top w:val="single" w:color="000000" w:sz="4"/>
                    <w:left w:val="single" w:color="000000" w:sz="4"/>
                    <w:bottom w:val="single" w:color="000000" w:sz="4"/>
                    <w:right w:val="single" w:color="000000" w:sz="8"/>
                  </w:tcBorders>
                  <w:vAlign w:val="top"/>
                </w:tcPr>
                <w:p>
                  <w:pPr>
                    <w:jc w:val="center"/>
                  </w:pPr>
                  <w:r>
                    <w:rPr>
                      <w:sz w:val="21"/>
                    </w:rPr>
                    <w:t>85</w:t>
                  </w:r>
                </w:p>
              </w:tc>
            </w:tr>
            <w:tr>
              <w:tc>
                <w:tcPr>
                  <w:tcW w:type="dxa" w:w="1141"/>
                  <w:tcBorders>
                    <w:top w:val="single" w:color="000000" w:sz="4"/>
                    <w:left w:val="single" w:color="000000" w:sz="8"/>
                    <w:bottom w:val="single" w:color="000000" w:sz="8"/>
                    <w:right w:val="single" w:color="000000" w:sz="4"/>
                  </w:tcBorders>
                  <w:vAlign w:val="top"/>
                </w:tcPr>
                <w:p>
                  <w:pPr>
                    <w:jc w:val="center"/>
                  </w:pPr>
                  <w:r>
                    <w:rPr>
                      <w:sz w:val="21"/>
                    </w:rPr>
                    <w:t>0.4</w:t>
                  </w:r>
                </w:p>
              </w:tc>
              <w:tc>
                <w:tcPr>
                  <w:tcW w:type="dxa" w:w="1806"/>
                  <w:tcBorders>
                    <w:top w:val="single" w:color="000000" w:sz="4"/>
                    <w:left w:val="single" w:color="000000" w:sz="4"/>
                    <w:bottom w:val="single" w:color="000000" w:sz="8"/>
                    <w:right w:val="single" w:color="000000" w:sz="4"/>
                  </w:tcBorders>
                  <w:vAlign w:val="top"/>
                </w:tcPr>
                <w:p>
                  <w:pPr>
                    <w:jc w:val="center"/>
                  </w:pPr>
                  <w:r>
                    <w:rPr>
                      <w:sz w:val="21"/>
                    </w:rPr>
                    <w:t>5</w:t>
                  </w:r>
                </w:p>
              </w:tc>
              <w:tc>
                <w:tcPr>
                  <w:tcW w:type="dxa" w:w="1302"/>
                  <w:tcBorders>
                    <w:top w:val="single" w:color="000000" w:sz="4"/>
                    <w:left w:val="single" w:color="000000" w:sz="4"/>
                    <w:bottom w:val="single" w:color="000000" w:sz="8"/>
                    <w:right w:val="single" w:color="000000" w:sz="4"/>
                  </w:tcBorders>
                  <w:vAlign w:val="top"/>
                </w:tcPr>
                <w:p>
                  <w:pPr>
                    <w:jc w:val="center"/>
                  </w:pPr>
                  <w:r>
                    <w:rPr>
                      <w:sz w:val="21"/>
                    </w:rPr>
                    <w:t>-</w:t>
                  </w:r>
                </w:p>
              </w:tc>
              <w:tc>
                <w:tcPr>
                  <w:tcW w:type="dxa" w:w="1350"/>
                  <w:tcBorders>
                    <w:top w:val="single" w:color="000000" w:sz="4"/>
                    <w:left w:val="single" w:color="000000" w:sz="4"/>
                    <w:bottom w:val="single" w:color="000000" w:sz="8"/>
                    <w:right w:val="single" w:color="000000" w:sz="8"/>
                  </w:tcBorders>
                  <w:vAlign w:val="top"/>
                </w:tcPr>
                <w:p>
                  <w:pPr>
                    <w:jc w:val="center"/>
                  </w:pPr>
                  <w:r>
                    <w:rPr>
                      <w:sz w:val="21"/>
                    </w:rPr>
                    <w:t>-</w:t>
                  </w:r>
                </w:p>
              </w:tc>
            </w:tr>
          </w:tbl>
          <w:p>
            <w:r>
              <w:rPr>
                <w:sz w:val="21"/>
              </w:rPr>
              <w:t>注：雷电截波冲击耐受电压试验仅在有要求时进行。</w:t>
            </w:r>
          </w:p>
          <w:p>
            <w:r>
              <w:rPr>
                <w:sz w:val="21"/>
              </w:rPr>
              <w:t>2</w:t>
            </w:r>
            <w:r>
              <w:rPr>
                <w:sz w:val="21"/>
              </w:rPr>
              <w:t>.2.1.3 接线端子</w:t>
            </w:r>
          </w:p>
          <w:p>
            <w:r>
              <w:rPr>
                <w:sz w:val="21"/>
              </w:rPr>
              <w:t>变压器一次和二次引线的接线端子，应用铜材制成，其接触表面应洁净，不得有裂纹、明显伤痕、毛刺，腐蚀斑痕缺陷及其他影响电接触和机械强度的缺陷，且应有防松措施。其余应符合</w:t>
            </w:r>
            <w:r>
              <w:rPr>
                <w:sz w:val="21"/>
              </w:rPr>
              <w:t>GB 5273的规定。</w:t>
            </w:r>
          </w:p>
          <w:p>
            <w:r>
              <w:rPr>
                <w:sz w:val="21"/>
              </w:rPr>
              <w:t>2</w:t>
            </w:r>
            <w:r>
              <w:rPr>
                <w:sz w:val="21"/>
              </w:rPr>
              <w:t>.2.1.4 铭牌</w:t>
            </w:r>
          </w:p>
          <w:p>
            <w:r>
              <w:rPr>
                <w:sz w:val="21"/>
              </w:rPr>
              <w:t>固定与变压器及外壳（若有）上的铭牌应采用不锈钢材料制作，耐腐蚀，并应固定在明显可见位置，铭牌上所标志的项目内容应清晰且安装牢固。</w:t>
            </w:r>
          </w:p>
          <w:p>
            <w:r>
              <w:rPr>
                <w:sz w:val="21"/>
              </w:rPr>
              <w:t>在铭牌上必须标志的项目应符合</w:t>
            </w:r>
            <w:r>
              <w:rPr>
                <w:sz w:val="21"/>
              </w:rPr>
              <w:t>GB 1094.1和GB 1094.11的规定。</w:t>
            </w:r>
          </w:p>
          <w:p>
            <w:r>
              <w:rPr>
                <w:sz w:val="21"/>
              </w:rPr>
              <w:t>2</w:t>
            </w:r>
            <w:r>
              <w:rPr>
                <w:sz w:val="21"/>
              </w:rPr>
              <w:t>.2.2干式变压器技术要求</w:t>
            </w:r>
          </w:p>
          <w:p>
            <w:r>
              <w:rPr>
                <w:sz w:val="21"/>
              </w:rPr>
              <w:t>2</w:t>
            </w:r>
            <w:r>
              <w:rPr>
                <w:sz w:val="21"/>
              </w:rPr>
              <w:t>.2.2.1 绝缘系统等级</w:t>
            </w:r>
          </w:p>
          <w:p>
            <w:r>
              <w:rPr>
                <w:sz w:val="21"/>
              </w:rPr>
              <w:t>F级及以上。</w:t>
            </w:r>
          </w:p>
          <w:p>
            <w:r>
              <w:rPr>
                <w:sz w:val="21"/>
              </w:rPr>
              <w:t>2</w:t>
            </w:r>
            <w:r>
              <w:rPr>
                <w:sz w:val="21"/>
              </w:rPr>
              <w:t>.2.2.2 防护等级</w:t>
            </w:r>
          </w:p>
          <w:p>
            <w:r>
              <w:rPr>
                <w:sz w:val="21"/>
              </w:rPr>
              <w:t>干式配电变压器带外壳时防护等级应符合</w:t>
            </w:r>
            <w:r>
              <w:rPr>
                <w:sz w:val="21"/>
              </w:rPr>
              <w:t>GB 4208的规定，不低于IP20。</w:t>
            </w:r>
          </w:p>
          <w:p>
            <w:r>
              <w:rPr>
                <w:sz w:val="21"/>
              </w:rPr>
              <w:t>2</w:t>
            </w:r>
            <w:r>
              <w:rPr>
                <w:sz w:val="21"/>
              </w:rPr>
              <w:t>.2.2.3 温升限值</w:t>
            </w:r>
          </w:p>
          <w:p>
            <w:r>
              <w:rPr>
                <w:sz w:val="21"/>
              </w:rPr>
              <w:t>2</w:t>
            </w:r>
            <w:r>
              <w:rPr>
                <w:sz w:val="21"/>
              </w:rPr>
              <w:t>.2.2.3.1 变压器在连续额定容量稳态下的正常温升限值如下：</w:t>
            </w:r>
          </w:p>
          <w:p>
            <w:r>
              <w:rPr>
                <w:sz w:val="21"/>
              </w:rPr>
              <w:t>绕组最高温升：满足国家标准</w:t>
            </w:r>
            <w:r>
              <w:rPr>
                <w:sz w:val="21"/>
              </w:rPr>
              <w:t>GB 1094.11的要求，详见表5. 3。</w:t>
            </w:r>
          </w:p>
          <w:p>
            <w:pPr>
              <w:jc w:val="center"/>
            </w:pPr>
            <w:r>
              <w:rPr>
                <w:sz w:val="21"/>
              </w:rPr>
              <w:t>表</w:t>
            </w:r>
            <w:r>
              <w:rPr>
                <w:sz w:val="21"/>
              </w:rPr>
              <w:t xml:space="preserve">5.3    </w:t>
            </w:r>
            <w:r>
              <w:rPr/>
              <w:t xml:space="preserve"> </w:t>
            </w:r>
            <w:r>
              <w:rPr>
                <w:sz w:val="21"/>
              </w:rPr>
              <w:t xml:space="preserve"> </w:t>
            </w:r>
            <w:r>
              <w:rPr>
                <w:sz w:val="21"/>
              </w:rPr>
              <w:t>绕组温升限值</w:t>
            </w:r>
          </w:p>
          <w:tbl>
            <w:tblPr>
              <w:tblBorders>
                <w:top w:val="none" w:color="000000" w:sz="4"/>
                <w:left w:val="none" w:color="000000" w:sz="4"/>
                <w:bottom w:val="none" w:color="000000" w:sz="4"/>
                <w:right w:val="none" w:color="000000" w:sz="4"/>
                <w:insideH w:val="none"/>
                <w:insideV w:val="none"/>
              </w:tblBorders>
            </w:tblPr>
            <w:tblGrid>
              <w:gridCol w:w="2290"/>
              <w:gridCol w:w="3308"/>
            </w:tblGrid>
            <w:tr>
              <w:tc>
                <w:tcPr>
                  <w:tcW w:type="dxa" w:w="2290"/>
                  <w:tcBorders>
                    <w:top w:val="single" w:color="000000" w:sz="8"/>
                    <w:left w:val="single" w:color="000000" w:sz="8"/>
                    <w:bottom w:val="single" w:color="000000" w:sz="4"/>
                    <w:right w:val="single" w:color="000000" w:sz="4"/>
                  </w:tcBorders>
                  <w:vAlign w:val="top"/>
                </w:tcPr>
                <w:p>
                  <w:pPr>
                    <w:jc w:val="center"/>
                  </w:pPr>
                  <w:r>
                    <w:rPr>
                      <w:sz w:val="21"/>
                    </w:rPr>
                    <w:t>绝缘系统温度</w:t>
                  </w:r>
                  <w:r>
                    <w:rPr>
                      <w:sz w:val="21"/>
                    </w:rPr>
                    <w:t>℃</w:t>
                  </w:r>
                </w:p>
              </w:tc>
              <w:tc>
                <w:tcPr>
                  <w:tcW w:type="dxa" w:w="3308"/>
                  <w:tcBorders>
                    <w:top w:val="single" w:color="000000" w:sz="8"/>
                    <w:left w:val="single" w:color="000000" w:sz="4"/>
                    <w:bottom w:val="single" w:color="000000" w:sz="4"/>
                    <w:right w:val="single" w:color="000000" w:sz="8"/>
                  </w:tcBorders>
                  <w:vAlign w:val="top"/>
                </w:tcPr>
                <w:p>
                  <w:pPr>
                    <w:jc w:val="center"/>
                  </w:pPr>
                  <w:r>
                    <w:rPr>
                      <w:sz w:val="21"/>
                    </w:rPr>
                    <w:t>额定电流下的绕组平均温升限值</w:t>
                  </w:r>
                  <w:r>
                    <w:rPr>
                      <w:sz w:val="21"/>
                    </w:rPr>
                    <w:t>K</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21"/>
                    </w:rPr>
                    <w:t>155（F）</w:t>
                  </w:r>
                </w:p>
              </w:tc>
              <w:tc>
                <w:tcPr>
                  <w:tcW w:type="dxa" w:w="3308"/>
                  <w:tcBorders>
                    <w:top w:val="single" w:color="000000" w:sz="4"/>
                    <w:left w:val="single" w:color="000000" w:sz="4"/>
                    <w:bottom w:val="single" w:color="000000" w:sz="4"/>
                    <w:right w:val="single" w:color="000000" w:sz="8"/>
                  </w:tcBorders>
                  <w:vAlign w:val="top"/>
                </w:tcPr>
                <w:p>
                  <w:pPr>
                    <w:jc w:val="center"/>
                  </w:pPr>
                  <w:r>
                    <w:rPr>
                      <w:sz w:val="21"/>
                    </w:rPr>
                    <w:t>100</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21"/>
                    </w:rPr>
                    <w:t>180（H）</w:t>
                  </w:r>
                </w:p>
              </w:tc>
              <w:tc>
                <w:tcPr>
                  <w:tcW w:type="dxa" w:w="3308"/>
                  <w:tcBorders>
                    <w:top w:val="single" w:color="000000" w:sz="4"/>
                    <w:left w:val="single" w:color="000000" w:sz="4"/>
                    <w:bottom w:val="single" w:color="000000" w:sz="4"/>
                    <w:right w:val="single" w:color="000000" w:sz="8"/>
                  </w:tcBorders>
                  <w:vAlign w:val="top"/>
                </w:tcPr>
                <w:p>
                  <w:pPr>
                    <w:jc w:val="center"/>
                  </w:pPr>
                  <w:r>
                    <w:rPr>
                      <w:sz w:val="21"/>
                    </w:rPr>
                    <w:t>125</w:t>
                  </w:r>
                </w:p>
              </w:tc>
            </w:tr>
            <w:tr>
              <w:tc>
                <w:tcPr>
                  <w:tcW w:type="dxa" w:w="2290"/>
                  <w:tcBorders>
                    <w:top w:val="single" w:color="000000" w:sz="4"/>
                    <w:left w:val="single" w:color="000000" w:sz="8"/>
                    <w:bottom w:val="single" w:color="000000" w:sz="4"/>
                    <w:right w:val="single" w:color="000000" w:sz="4"/>
                  </w:tcBorders>
                  <w:vAlign w:val="top"/>
                </w:tcPr>
                <w:p>
                  <w:pPr>
                    <w:jc w:val="center"/>
                  </w:pPr>
                  <w:r>
                    <w:rPr>
                      <w:sz w:val="21"/>
                    </w:rPr>
                    <w:t>200</w:t>
                  </w:r>
                </w:p>
              </w:tc>
              <w:tc>
                <w:tcPr>
                  <w:tcW w:type="dxa" w:w="3308"/>
                  <w:tcBorders>
                    <w:top w:val="single" w:color="000000" w:sz="4"/>
                    <w:left w:val="single" w:color="000000" w:sz="4"/>
                    <w:bottom w:val="single" w:color="000000" w:sz="4"/>
                    <w:right w:val="single" w:color="000000" w:sz="8"/>
                  </w:tcBorders>
                  <w:vAlign w:val="top"/>
                </w:tcPr>
                <w:p>
                  <w:pPr>
                    <w:jc w:val="center"/>
                  </w:pPr>
                  <w:r>
                    <w:rPr>
                      <w:sz w:val="21"/>
                    </w:rPr>
                    <w:t>135</w:t>
                  </w:r>
                </w:p>
              </w:tc>
            </w:tr>
            <w:tr>
              <w:tc>
                <w:tcPr>
                  <w:tcW w:type="dxa" w:w="2290"/>
                  <w:tcBorders>
                    <w:top w:val="single" w:color="000000" w:sz="4"/>
                    <w:left w:val="single" w:color="000000" w:sz="8"/>
                    <w:bottom w:val="single" w:color="000000" w:sz="8"/>
                    <w:right w:val="single" w:color="000000" w:sz="4"/>
                  </w:tcBorders>
                  <w:vAlign w:val="top"/>
                </w:tcPr>
                <w:p>
                  <w:pPr>
                    <w:jc w:val="center"/>
                  </w:pPr>
                  <w:r>
                    <w:rPr>
                      <w:sz w:val="21"/>
                    </w:rPr>
                    <w:t>220（C）</w:t>
                  </w:r>
                </w:p>
              </w:tc>
              <w:tc>
                <w:tcPr>
                  <w:tcW w:type="dxa" w:w="3308"/>
                  <w:tcBorders>
                    <w:top w:val="single" w:color="000000" w:sz="4"/>
                    <w:left w:val="single" w:color="000000" w:sz="4"/>
                    <w:bottom w:val="single" w:color="000000" w:sz="8"/>
                    <w:right w:val="single" w:color="000000" w:sz="8"/>
                  </w:tcBorders>
                  <w:vAlign w:val="top"/>
                </w:tcPr>
                <w:p>
                  <w:pPr>
                    <w:jc w:val="center"/>
                  </w:pPr>
                  <w:r>
                    <w:rPr>
                      <w:sz w:val="21"/>
                    </w:rPr>
                    <w:t>150</w:t>
                  </w:r>
                </w:p>
              </w:tc>
            </w:tr>
          </w:tbl>
          <w:p>
            <w:r>
              <w:rPr>
                <w:sz w:val="21"/>
              </w:rPr>
              <w:t>注：有关温度等级的字母代号见</w:t>
            </w:r>
            <w:r>
              <w:rPr>
                <w:sz w:val="21"/>
              </w:rPr>
              <w:t>GB/T 11021。</w:t>
            </w:r>
          </w:p>
          <w:p>
            <w:r>
              <w:rPr>
                <w:sz w:val="21"/>
              </w:rPr>
              <w:t>2</w:t>
            </w:r>
            <w:r>
              <w:rPr>
                <w:sz w:val="21"/>
              </w:rPr>
              <w:t>.2.2.3.2 铁心、金属部件和与其相邻的材料：在任何情况下，不应出现使铁心本身、其他部件或与其相邻的材料受到损害的温度。</w:t>
            </w:r>
          </w:p>
          <w:p>
            <w:r>
              <w:rPr>
                <w:sz w:val="21"/>
              </w:rPr>
              <w:t>2</w:t>
            </w:r>
            <w:r>
              <w:rPr>
                <w:sz w:val="21"/>
              </w:rPr>
              <w:t>.2.2.4 损耗</w:t>
            </w:r>
          </w:p>
          <w:p>
            <w:r>
              <w:rPr>
                <w:sz w:val="21"/>
              </w:rPr>
              <w:t>空载损耗：按表</w:t>
            </w:r>
            <w:r>
              <w:rPr>
                <w:sz w:val="21"/>
              </w:rPr>
              <w:t>5.1-1～表5.1-4要求。</w:t>
            </w:r>
          </w:p>
          <w:p>
            <w:r>
              <w:rPr>
                <w:sz w:val="21"/>
              </w:rPr>
              <w:t>负载损耗：按表</w:t>
            </w:r>
            <w:r>
              <w:rPr>
                <w:sz w:val="21"/>
              </w:rPr>
              <w:t>5.1-1～表5.1-4要求。</w:t>
            </w:r>
          </w:p>
          <w:p>
            <w:r>
              <w:rPr>
                <w:sz w:val="21"/>
              </w:rPr>
              <w:t>2</w:t>
            </w:r>
            <w:r>
              <w:rPr>
                <w:sz w:val="21"/>
              </w:rPr>
              <w:t>.2.2.5 空载电流</w:t>
            </w:r>
          </w:p>
          <w:p>
            <w:r>
              <w:rPr>
                <w:sz w:val="21"/>
              </w:rPr>
              <w:t>按表</w:t>
            </w:r>
            <w:r>
              <w:rPr>
                <w:sz w:val="21"/>
              </w:rPr>
              <w:t>5.1-1～表5.1-4要求。</w:t>
            </w:r>
          </w:p>
          <w:p>
            <w:r>
              <w:rPr>
                <w:sz w:val="21"/>
              </w:rPr>
              <w:t>2</w:t>
            </w:r>
            <w:r>
              <w:rPr>
                <w:sz w:val="21"/>
              </w:rPr>
              <w:t>.2.2.6 允许偏差</w:t>
            </w:r>
          </w:p>
          <w:p>
            <w:r>
              <w:rPr>
                <w:sz w:val="21"/>
              </w:rPr>
              <w:t>1）损耗偏差</w:t>
            </w:r>
          </w:p>
          <w:p>
            <w:pPr>
              <w:ind w:firstLine="630"/>
            </w:pPr>
            <w:r>
              <w:rPr>
                <w:sz w:val="21"/>
              </w:rPr>
              <w:t>a.空载损耗偏差： 允许偏差应在3%以内。</w:t>
            </w:r>
          </w:p>
          <w:p>
            <w:pPr>
              <w:ind w:firstLine="630"/>
            </w:pPr>
            <w:r>
              <w:rPr>
                <w:sz w:val="21"/>
              </w:rPr>
              <w:t>b.负载损耗偏差： 允许偏差应在5%以内。</w:t>
            </w:r>
          </w:p>
          <w:p>
            <w:pPr>
              <w:ind w:firstLine="630"/>
            </w:pPr>
            <w:r>
              <w:rPr>
                <w:sz w:val="21"/>
              </w:rPr>
              <w:t>c.总损耗偏差：   允许偏差应在4%以内。</w:t>
            </w:r>
          </w:p>
          <w:p>
            <w:r>
              <w:rPr>
                <w:sz w:val="21"/>
              </w:rPr>
              <w:t>2）短路阻抗偏差： 按表5.1-1～表5.1-4要求。</w:t>
            </w:r>
          </w:p>
          <w:p>
            <w:r>
              <w:rPr>
                <w:sz w:val="21"/>
              </w:rPr>
              <w:t>3）空载电流偏差： 按表5.1-1～表5.1-4要求。</w:t>
            </w:r>
          </w:p>
          <w:p>
            <w:r>
              <w:rPr>
                <w:sz w:val="21"/>
              </w:rPr>
              <w:t>2</w:t>
            </w:r>
            <w:r>
              <w:rPr>
                <w:sz w:val="21"/>
              </w:rPr>
              <w:t>.2.2.7 负载能力</w:t>
            </w:r>
          </w:p>
          <w:p>
            <w:r>
              <w:rPr>
                <w:sz w:val="21"/>
              </w:rPr>
              <w:t>GB/T 17211 《干式电力变压器负载导则》的要求</w:t>
            </w:r>
          </w:p>
          <w:p>
            <w:r>
              <w:rPr>
                <w:sz w:val="21"/>
              </w:rPr>
              <w:t>2</w:t>
            </w:r>
            <w:r>
              <w:rPr>
                <w:sz w:val="21"/>
              </w:rPr>
              <w:t>.2.2.8 中性点引出线及端子</w:t>
            </w:r>
          </w:p>
          <w:p>
            <w:r>
              <w:rPr>
                <w:sz w:val="21"/>
              </w:rPr>
              <w:t>应具有与相线及端子相同的通流能力。</w:t>
            </w:r>
          </w:p>
          <w:p>
            <w:r>
              <w:rPr>
                <w:sz w:val="21"/>
              </w:rPr>
              <w:t>2</w:t>
            </w:r>
            <w:r>
              <w:rPr>
                <w:sz w:val="21"/>
              </w:rPr>
              <w:t>.2.2.9 局部放电水平</w:t>
            </w:r>
          </w:p>
          <w:p>
            <w:r>
              <w:rPr>
                <w:sz w:val="21"/>
              </w:rPr>
              <w:t>在施加</w:t>
            </w:r>
            <w:r>
              <w:rPr>
                <w:sz w:val="21"/>
              </w:rPr>
              <w:t>1.8Ur（额定电压）、时间30秒后，将相电压降至1.3 Ur继续试验3分钟的放电量小于10pC。</w:t>
            </w:r>
          </w:p>
          <w:p>
            <w:r>
              <w:rPr>
                <w:sz w:val="21"/>
              </w:rPr>
              <w:t>2</w:t>
            </w:r>
            <w:r>
              <w:rPr>
                <w:sz w:val="21"/>
              </w:rPr>
              <w:t>.2.2.10 噪声水平</w:t>
            </w:r>
          </w:p>
          <w:p>
            <w:r>
              <w:rPr>
                <w:sz w:val="21"/>
              </w:rPr>
              <w:t>按表</w:t>
            </w:r>
            <w:r>
              <w:rPr>
                <w:sz w:val="21"/>
              </w:rPr>
              <w:t>5.1-1～表5.1-4要求。</w:t>
            </w:r>
          </w:p>
          <w:p>
            <w:r>
              <w:rPr>
                <w:sz w:val="21"/>
              </w:rPr>
              <w:t>2</w:t>
            </w:r>
            <w:r>
              <w:rPr>
                <w:sz w:val="21"/>
              </w:rPr>
              <w:t>.2.2.11 变压器承受短路的能力</w:t>
            </w:r>
          </w:p>
          <w:p>
            <w:r>
              <w:rPr>
                <w:sz w:val="21"/>
              </w:rPr>
              <w:t>1）变压器承受短路的耐热能力</w:t>
            </w:r>
          </w:p>
          <w:p>
            <w:r>
              <w:rPr>
                <w:sz w:val="21"/>
              </w:rPr>
              <w:t>变压器在任一分接下，应能持续承受</w:t>
            </w:r>
            <w:r>
              <w:rPr>
                <w:sz w:val="21"/>
              </w:rPr>
              <w:t>0.5s时间的外部短路耐热能力的电流，并且其绕组温度应不超过350℃（铜）。</w:t>
            </w:r>
          </w:p>
          <w:p>
            <w:r>
              <w:rPr>
                <w:sz w:val="21"/>
              </w:rPr>
              <w:t>2）变压器承受短路的动稳定能力</w:t>
            </w:r>
          </w:p>
          <w:p>
            <w:r>
              <w:rPr>
                <w:sz w:val="21"/>
              </w:rPr>
              <w:t>变压器在任一分接下，应能承受国家标准</w:t>
            </w:r>
            <w:r>
              <w:rPr>
                <w:sz w:val="21"/>
              </w:rPr>
              <w:t>GB 1094.5所规定的短路试验电流值而不损坏。</w:t>
            </w:r>
          </w:p>
          <w:p>
            <w:r>
              <w:rPr>
                <w:sz w:val="21"/>
              </w:rPr>
              <w:t>2</w:t>
            </w:r>
            <w:r>
              <w:rPr>
                <w:sz w:val="21"/>
              </w:rPr>
              <w:t>.2.2.12 自动化装置接口要求</w:t>
            </w:r>
          </w:p>
          <w:p>
            <w:r>
              <w:rPr>
                <w:sz w:val="21"/>
              </w:rPr>
              <w:t>对需要安装自动化装置的配电变压器，应配置自动化接口、军工级航空插头，外配</w:t>
            </w:r>
            <w:r>
              <w:rPr>
                <w:sz w:val="21"/>
              </w:rPr>
              <w:t>IP45保护箱。</w:t>
            </w:r>
          </w:p>
          <w:p>
            <w:r>
              <w:rPr>
                <w:sz w:val="21"/>
              </w:rPr>
              <w:t>2</w:t>
            </w:r>
            <w:r>
              <w:rPr>
                <w:sz w:val="21"/>
              </w:rPr>
              <w:t>.2.3 结构要求</w:t>
            </w:r>
          </w:p>
          <w:p>
            <w:r>
              <w:rPr>
                <w:sz w:val="21"/>
              </w:rPr>
              <w:t>2</w:t>
            </w:r>
            <w:r>
              <w:rPr>
                <w:sz w:val="21"/>
              </w:rPr>
              <w:t>.2.3.1 铁心</w:t>
            </w:r>
          </w:p>
          <w:p>
            <w:r>
              <w:rPr>
                <w:sz w:val="21"/>
              </w:rPr>
              <w:t>1）11型系列的变压器，应选用的优质的冷轧晶粒取向硅钢片（铁心性能不低于30ZH120）。整个铁心组件均衡严紧，不应由于运输和运行中的振动而松动。</w:t>
            </w:r>
          </w:p>
          <w:p>
            <w:r>
              <w:rPr>
                <w:sz w:val="21"/>
              </w:rPr>
              <w:t>2）变压器铁心和金属件均应可靠接地（铁轭螺杆除外）和防腐蚀的保护层。接地装置应有防锈镀层，并附有明显的接地标志。</w:t>
            </w:r>
          </w:p>
          <w:p>
            <w:r>
              <w:rPr>
                <w:sz w:val="21"/>
              </w:rPr>
              <w:t>2</w:t>
            </w:r>
            <w:r>
              <w:rPr>
                <w:sz w:val="21"/>
              </w:rPr>
              <w:t>.2.3.2 绕组</w:t>
            </w:r>
          </w:p>
          <w:p>
            <w:r>
              <w:rPr>
                <w:sz w:val="21"/>
              </w:rPr>
              <w:t>1）绕组应采用优质（无氧）铜导线（或铜箔）。绕组设计应使电流和温度沿绕组均匀分布，并使绕组在雷电冲击全波试验时得到最佳的电位分布。</w:t>
            </w:r>
          </w:p>
          <w:p>
            <w:r>
              <w:rPr>
                <w:sz w:val="21"/>
              </w:rPr>
              <w:t>2）绕组应能承受短路、过载和过电压而不发生局部过热，并应消除绕组中的电场集中现象，局部放电水平应满足有关标准。</w:t>
            </w:r>
          </w:p>
          <w:p>
            <w:r>
              <w:rPr>
                <w:sz w:val="21"/>
              </w:rPr>
              <w:t>3）变压器各绕组应有相应的接线端子标志，所有标志应牢固且耐腐蚀。</w:t>
            </w:r>
          </w:p>
          <w:p>
            <w:r>
              <w:rPr>
                <w:sz w:val="21"/>
              </w:rPr>
              <w:t>4）采用包封式高压绕组树脂表面易见位置，应有符合行业标准要求的“高压危险”标志。</w:t>
            </w:r>
          </w:p>
          <w:p>
            <w:r>
              <w:rPr>
                <w:sz w:val="21"/>
              </w:rPr>
              <w:t>2</w:t>
            </w:r>
            <w:r>
              <w:rPr>
                <w:sz w:val="21"/>
              </w:rPr>
              <w:t>.2.3.3 外壳</w:t>
            </w:r>
          </w:p>
          <w:p>
            <w:r>
              <w:rPr>
                <w:sz w:val="21"/>
              </w:rPr>
              <w:t>1）变压器外壳采用组合式。</w:t>
            </w:r>
          </w:p>
          <w:p>
            <w:r>
              <w:rPr>
                <w:sz w:val="21"/>
              </w:rPr>
              <w:t>2）变压器加装保护外壳后，不应降容，并保证温升不超标。</w:t>
            </w:r>
          </w:p>
          <w:p>
            <w:r>
              <w:rPr>
                <w:sz w:val="21"/>
              </w:rPr>
              <w:t>3）保护外壳的门应高、低压侧分别设置并加标志，要求外壳的门应有防误入装置。外壳防护等级不低于IP20，并要求重量轻、安装拆卸方便、通风良好。</w:t>
            </w:r>
          </w:p>
          <w:p>
            <w:r>
              <w:rPr>
                <w:sz w:val="21"/>
              </w:rPr>
              <w:t>4）外壳及外壳门必须有效接地。</w:t>
            </w:r>
          </w:p>
          <w:p>
            <w:r>
              <w:rPr>
                <w:sz w:val="21"/>
              </w:rPr>
              <w:t>2</w:t>
            </w:r>
            <w:r>
              <w:rPr>
                <w:sz w:val="21"/>
              </w:rPr>
              <w:t>.2.3.4监测、报警和跳闸接点</w:t>
            </w:r>
          </w:p>
          <w:p>
            <w:r>
              <w:rPr>
                <w:sz w:val="21"/>
              </w:rPr>
              <w:t>变压器应装设数字显示式温控器，监测变压器运行温度，并设有测温报警或跳闸接点。温度计应装于变压器上或前柜门上（带保护外壳变压器）。控制箱（如果有）应装在柜门的一侧。</w:t>
            </w:r>
          </w:p>
          <w:p>
            <w:r>
              <w:rPr>
                <w:sz w:val="21"/>
              </w:rPr>
              <w:t>2</w:t>
            </w:r>
            <w:r>
              <w:rPr>
                <w:sz w:val="21"/>
              </w:rPr>
              <w:t>.2.3.5 其他要求</w:t>
            </w:r>
          </w:p>
          <w:p>
            <w:r>
              <w:rPr>
                <w:sz w:val="21"/>
              </w:rPr>
              <w:t>1）变压器绝缘件应经防潮处理。</w:t>
            </w:r>
          </w:p>
          <w:p>
            <w:r>
              <w:rPr>
                <w:sz w:val="21"/>
              </w:rPr>
              <w:t>2）变压器应装有底脚，其上设有安装用的定位孔，孔中心距（纵向尺寸）要按国家标准规定。</w:t>
            </w:r>
          </w:p>
          <w:p>
            <w:r>
              <w:rPr>
                <w:sz w:val="21"/>
              </w:rPr>
              <w:t>3）配装风冷装置的变压器，其风扇应由热保护装置自动控制，且选用低噪声的轴流风扇，并应符合JB/T 8971的要求。</w:t>
            </w:r>
          </w:p>
          <w:p>
            <w:pPr>
              <w:jc w:val="both"/>
            </w:pPr>
            <w:r>
              <w:rPr>
                <w:b/>
                <w:sz w:val="21"/>
              </w:rPr>
              <w:t>3、10kV高压电力电缆技术要求</w:t>
            </w:r>
          </w:p>
          <w:p>
            <w:r>
              <w:rPr>
                <w:b/>
                <w:sz w:val="21"/>
              </w:rPr>
              <w:t>3.1正常使用条件</w:t>
            </w:r>
          </w:p>
          <w:p>
            <w:pPr>
              <w:ind w:firstLine="420"/>
              <w:jc w:val="both"/>
            </w:pPr>
            <w:r>
              <w:rPr>
                <w:sz w:val="21"/>
              </w:rPr>
              <w:t>1）海拔高度：≤1000m；</w:t>
            </w:r>
          </w:p>
          <w:p>
            <w:pPr>
              <w:ind w:firstLine="420"/>
              <w:jc w:val="both"/>
            </w:pPr>
            <w:r>
              <w:rPr>
                <w:sz w:val="21"/>
              </w:rPr>
              <w:t>2）最高环境温度：+45℃；</w:t>
            </w:r>
          </w:p>
          <w:p>
            <w:pPr>
              <w:ind w:firstLine="420"/>
              <w:jc w:val="both"/>
            </w:pPr>
            <w:r>
              <w:rPr>
                <w:sz w:val="21"/>
              </w:rPr>
              <w:t>3）最低环境温度：-10℃；</w:t>
            </w:r>
          </w:p>
          <w:p>
            <w:pPr>
              <w:ind w:firstLine="420"/>
              <w:jc w:val="both"/>
            </w:pPr>
            <w:r>
              <w:rPr>
                <w:sz w:val="21"/>
              </w:rPr>
              <w:t>4）年平均气温：20℃；</w:t>
            </w:r>
          </w:p>
          <w:p>
            <w:pPr>
              <w:ind w:firstLine="420"/>
              <w:jc w:val="both"/>
            </w:pPr>
            <w:r>
              <w:rPr>
                <w:sz w:val="21"/>
              </w:rPr>
              <w:t>5）最大日温差：30℃；</w:t>
            </w:r>
          </w:p>
          <w:p>
            <w:pPr>
              <w:ind w:firstLine="420"/>
              <w:jc w:val="both"/>
            </w:pPr>
            <w:r>
              <w:rPr>
                <w:sz w:val="21"/>
              </w:rPr>
              <w:t>6）最大年降雨量 2400mm；最大日降雨量 375mm；</w:t>
            </w:r>
          </w:p>
          <w:p>
            <w:pPr>
              <w:ind w:firstLine="420"/>
              <w:jc w:val="both"/>
            </w:pPr>
            <w:r>
              <w:rPr>
                <w:sz w:val="21"/>
              </w:rPr>
              <w:t>7）雷暴日：110 日/年；</w:t>
            </w:r>
          </w:p>
          <w:p>
            <w:pPr>
              <w:ind w:firstLine="420"/>
              <w:jc w:val="both"/>
            </w:pPr>
            <w:r>
              <w:rPr>
                <w:sz w:val="21"/>
              </w:rPr>
              <w:t>8）地震烈度：Ⅷ度；</w:t>
            </w:r>
          </w:p>
          <w:p>
            <w:pPr>
              <w:ind w:firstLine="420"/>
              <w:jc w:val="both"/>
            </w:pPr>
            <w:r>
              <w:rPr>
                <w:sz w:val="21"/>
              </w:rPr>
              <w:t>9）日照强度: 0.1W/cm</w:t>
            </w:r>
            <w:r>
              <w:rPr>
                <w:sz w:val="21"/>
                <w:vertAlign w:val="superscript"/>
              </w:rPr>
              <w:t>2</w:t>
            </w:r>
            <w:r>
              <w:rPr>
                <w:sz w:val="21"/>
              </w:rPr>
              <w:t>（风速</w:t>
            </w:r>
            <w:r>
              <w:rPr>
                <w:sz w:val="21"/>
              </w:rPr>
              <w:t>0.5m/s）；</w:t>
            </w:r>
          </w:p>
          <w:p>
            <w:pPr>
              <w:ind w:firstLine="420"/>
              <w:jc w:val="both"/>
            </w:pPr>
            <w:r>
              <w:rPr>
                <w:sz w:val="21"/>
              </w:rPr>
              <w:t>10）环境相对湿度：日平均值：95%；月平均值：90%；</w:t>
            </w:r>
          </w:p>
          <w:p>
            <w:pPr>
              <w:ind w:firstLine="420"/>
              <w:jc w:val="both"/>
            </w:pPr>
            <w:r>
              <w:rPr>
                <w:sz w:val="21"/>
              </w:rPr>
              <w:t>11）最大设计风速：35m/s（离地面10m高处30年一遇、10分钟平均最大值）。</w:t>
            </w:r>
          </w:p>
          <w:p>
            <w:r>
              <w:rPr>
                <w:b/>
                <w:sz w:val="21"/>
              </w:rPr>
              <w:t>3.2系统条件</w:t>
            </w:r>
            <w:r>
              <w:rPr>
                <w:b/>
                <w:sz w:val="21"/>
              </w:rPr>
              <w:t>要求</w:t>
            </w:r>
          </w:p>
          <w:p>
            <w:pPr>
              <w:ind w:firstLine="420"/>
              <w:jc w:val="both"/>
            </w:pPr>
            <w:r>
              <w:rPr>
                <w:sz w:val="21"/>
              </w:rPr>
              <w:t>1）系统额定频率：50Hz。</w:t>
            </w:r>
          </w:p>
          <w:p>
            <w:pPr>
              <w:ind w:firstLine="420"/>
              <w:jc w:val="both"/>
            </w:pPr>
            <w:r>
              <w:rPr>
                <w:sz w:val="21"/>
              </w:rPr>
              <w:t>2）系统标称电压：10kV。</w:t>
            </w:r>
          </w:p>
          <w:p>
            <w:pPr>
              <w:ind w:firstLine="420"/>
              <w:jc w:val="both"/>
            </w:pPr>
            <w:r>
              <w:rPr>
                <w:sz w:val="21"/>
              </w:rPr>
              <w:t>3）系统最高运行电压：12kV。</w:t>
            </w:r>
          </w:p>
          <w:p>
            <w:pPr>
              <w:ind w:firstLine="420"/>
              <w:jc w:val="both"/>
            </w:pPr>
            <w:r>
              <w:rPr>
                <w:sz w:val="21"/>
              </w:rPr>
              <w:t>4）导体对地或金属屏蔽之间的额定工频电压（U</w:t>
            </w:r>
            <w:r>
              <w:rPr>
                <w:sz w:val="21"/>
                <w:vertAlign w:val="subscript"/>
              </w:rPr>
              <w:t>0</w:t>
            </w:r>
            <w:r>
              <w:rPr>
                <w:sz w:val="21"/>
              </w:rPr>
              <w:t>）：</w:t>
            </w:r>
            <w:r>
              <w:rPr>
                <w:sz w:val="21"/>
              </w:rPr>
              <w:t>8.7kV。</w:t>
            </w:r>
          </w:p>
          <w:p>
            <w:pPr>
              <w:ind w:firstLine="420"/>
              <w:jc w:val="both"/>
            </w:pPr>
            <w:r>
              <w:rPr>
                <w:sz w:val="21"/>
              </w:rPr>
              <w:t>5）电缆的额定电压U</w:t>
            </w:r>
            <w:r>
              <w:rPr>
                <w:sz w:val="21"/>
                <w:vertAlign w:val="subscript"/>
              </w:rPr>
              <w:t>0</w:t>
            </w:r>
            <w:r>
              <w:rPr>
                <w:sz w:val="21"/>
              </w:rPr>
              <w:t>/U采用8.7/15kV。</w:t>
            </w:r>
          </w:p>
          <w:p>
            <w:r>
              <w:rPr>
                <w:sz w:val="21"/>
              </w:rPr>
              <w:t>6）系统中性点接地方式：不接地、消弧线圈接地和小电阻接地。</w:t>
            </w:r>
          </w:p>
          <w:p>
            <w:r>
              <w:rPr>
                <w:sz w:val="21"/>
              </w:rPr>
              <w:t>7）系统短路电流最大值：10kA。</w:t>
            </w:r>
          </w:p>
          <w:p>
            <w:r>
              <w:rPr>
                <w:sz w:val="21"/>
              </w:rPr>
              <w:t>8）电缆应满足正常运行时电缆导体温度为90℃，短路时导体最高温度为250℃/5s。</w:t>
            </w:r>
          </w:p>
          <w:p>
            <w:r>
              <w:rPr>
                <w:sz w:val="21"/>
              </w:rPr>
              <w:t>9）电缆设计使用年限：大于30年。</w:t>
            </w:r>
          </w:p>
          <w:p>
            <w:r>
              <w:rPr>
                <w:b/>
                <w:sz w:val="21"/>
              </w:rPr>
              <w:t>3.3 敷设条件</w:t>
            </w:r>
          </w:p>
          <w:p>
            <w:pPr>
              <w:ind w:firstLine="420"/>
              <w:jc w:val="both"/>
            </w:pPr>
            <w:r>
              <w:rPr>
                <w:sz w:val="21"/>
              </w:rPr>
              <w:t>敷设环境有直埋、管槽、排管、沟道、隧道、桥架、竖井等多种方式。电缆地下敷设时需满足完全浸于水中的运行要求。三芯铠装电缆允许最小弯曲半径</w:t>
            </w:r>
            <w:r>
              <w:rPr>
                <w:sz w:val="21"/>
              </w:rPr>
              <w:t>20D（D表示电缆外径）。</w:t>
            </w:r>
          </w:p>
          <w:p>
            <w:r>
              <w:rPr>
                <w:b/>
                <w:sz w:val="21"/>
              </w:rPr>
              <w:t>3.4 设计和结构要求</w:t>
            </w:r>
          </w:p>
          <w:p>
            <w:pPr>
              <w:jc w:val="both"/>
            </w:pPr>
            <w:r>
              <w:rPr>
                <w:b/>
                <w:sz w:val="21"/>
              </w:rPr>
              <w:t>3</w:t>
            </w:r>
            <w:r>
              <w:rPr>
                <w:b/>
                <w:sz w:val="21"/>
              </w:rPr>
              <w:t>.</w:t>
            </w:r>
            <w:r>
              <w:rPr>
                <w:b/>
                <w:sz w:val="21"/>
              </w:rPr>
              <w:t>4</w:t>
            </w:r>
            <w:r>
              <w:rPr>
                <w:b/>
                <w:sz w:val="21"/>
              </w:rPr>
              <w:t>.1</w:t>
            </w:r>
            <w:r>
              <w:rPr>
                <w:sz w:val="21"/>
              </w:rPr>
              <w:t xml:space="preserve"> </w:t>
            </w:r>
            <w:r>
              <w:rPr>
                <w:sz w:val="21"/>
              </w:rPr>
              <w:t>导体</w:t>
            </w:r>
          </w:p>
          <w:p>
            <w:pPr>
              <w:ind w:firstLine="420"/>
              <w:jc w:val="both"/>
            </w:pPr>
            <w:r>
              <w:rPr>
                <w:sz w:val="21"/>
              </w:rPr>
              <w:t>导体材料应选用铜材，铜导体单线必须采用符合</w:t>
            </w:r>
            <w:r>
              <w:rPr>
                <w:sz w:val="21"/>
              </w:rPr>
              <w:t>GB/T 3953规定的TR型软铜线。导体应采用符合GB/T 3956的第2种紧压绞合圆形结构。导体表面应光洁、无油污、无损伤屏蔽及绝缘的毛刺、锐边，无凸起或断裂的单线。电缆导体紧压系数不小于0.9，电缆导体外径平均值与标称值偏差不大于±2%。</w:t>
            </w:r>
          </w:p>
          <w:p>
            <w:pPr>
              <w:jc w:val="both"/>
            </w:pPr>
            <w:r>
              <w:rPr>
                <w:b/>
                <w:sz w:val="21"/>
              </w:rPr>
              <w:t>3</w:t>
            </w:r>
            <w:r>
              <w:rPr>
                <w:b/>
                <w:sz w:val="21"/>
              </w:rPr>
              <w:t>.</w:t>
            </w:r>
            <w:r>
              <w:rPr>
                <w:b/>
                <w:sz w:val="21"/>
              </w:rPr>
              <w:t>4</w:t>
            </w:r>
            <w:r>
              <w:rPr>
                <w:b/>
                <w:sz w:val="21"/>
              </w:rPr>
              <w:t>.2</w:t>
            </w:r>
            <w:r>
              <w:rPr>
                <w:sz w:val="21"/>
              </w:rPr>
              <w:t xml:space="preserve"> </w:t>
            </w:r>
            <w:r>
              <w:rPr>
                <w:sz w:val="21"/>
              </w:rPr>
              <w:t>挤出交联工艺</w:t>
            </w:r>
          </w:p>
          <w:p>
            <w:pPr>
              <w:ind w:firstLine="420"/>
              <w:jc w:val="both"/>
            </w:pPr>
            <w:r>
              <w:rPr>
                <w:sz w:val="21"/>
              </w:rPr>
              <w:t>导体屏蔽、绝缘、绝缘屏蔽应采用三层共挤工艺，全封闭化学交联，且交联工艺挤出过程应配置偏心度测量装置。绝缘料采用交联聚乙烯料（</w:t>
            </w:r>
            <w:r>
              <w:rPr>
                <w:sz w:val="21"/>
              </w:rPr>
              <w:t>XLPE），半导电屏蔽料采用交联型材料，绝缘料和半导电料从生产之日到使用不应超过半年。生产厂家提供对产品工艺制造水平的描述，包括干式交联流水线方式，生产设备中的测偏装置、干式交联、冷却装置的描述等。</w:t>
            </w:r>
          </w:p>
          <w:p>
            <w:pPr>
              <w:jc w:val="both"/>
            </w:pPr>
            <w:r>
              <w:rPr>
                <w:b/>
                <w:sz w:val="21"/>
              </w:rPr>
              <w:t>3</w:t>
            </w:r>
            <w:r>
              <w:rPr>
                <w:b/>
                <w:sz w:val="21"/>
              </w:rPr>
              <w:t>.</w:t>
            </w:r>
            <w:r>
              <w:rPr>
                <w:b/>
                <w:sz w:val="21"/>
              </w:rPr>
              <w:t>4</w:t>
            </w:r>
            <w:r>
              <w:rPr>
                <w:b/>
                <w:sz w:val="21"/>
              </w:rPr>
              <w:t>.3</w:t>
            </w:r>
            <w:r>
              <w:rPr>
                <w:sz w:val="21"/>
              </w:rPr>
              <w:t xml:space="preserve"> </w:t>
            </w:r>
            <w:r>
              <w:rPr>
                <w:sz w:val="21"/>
              </w:rPr>
              <w:t>导体屏蔽</w:t>
            </w:r>
          </w:p>
          <w:p>
            <w:pPr>
              <w:ind w:firstLine="420"/>
              <w:jc w:val="both"/>
            </w:pPr>
            <w:r>
              <w:rPr>
                <w:sz w:val="21"/>
              </w:rPr>
              <w:t>导体屏蔽应为挤包的半导电层，电阻率不超过</w:t>
            </w:r>
            <w:r>
              <w:rPr>
                <w:sz w:val="21"/>
              </w:rPr>
              <w:t>800Ω•m，半导电层应均匀地包覆在导体上，并和绝缘紧密结合，表面光滑，无明显绞线凸纹，不应有尖角、颗粒、烧焦或擦伤的痕迹。在剥离导体屏蔽时，半导电层不应有卡留在导体绞股之间的现象。</w:t>
            </w:r>
          </w:p>
          <w:p>
            <w:pPr>
              <w:ind w:firstLine="420"/>
              <w:jc w:val="both"/>
            </w:pPr>
            <w:r>
              <w:rPr>
                <w:sz w:val="21"/>
              </w:rPr>
              <w:t>导体屏蔽的标称厚度为</w:t>
            </w:r>
            <w:r>
              <w:rPr>
                <w:sz w:val="21"/>
              </w:rPr>
              <w:t>0.8mm，平均厚度应不小于0.8mm，最薄处厚度应不小于0.7mm。</w:t>
            </w:r>
          </w:p>
          <w:p>
            <w:pPr>
              <w:jc w:val="both"/>
            </w:pPr>
            <w:r>
              <w:rPr>
                <w:b/>
                <w:sz w:val="21"/>
              </w:rPr>
              <w:t>3</w:t>
            </w:r>
            <w:r>
              <w:rPr>
                <w:b/>
                <w:sz w:val="21"/>
              </w:rPr>
              <w:t>.</w:t>
            </w:r>
            <w:r>
              <w:rPr>
                <w:b/>
                <w:sz w:val="21"/>
              </w:rPr>
              <w:t>4</w:t>
            </w:r>
            <w:r>
              <w:rPr>
                <w:b/>
                <w:sz w:val="21"/>
              </w:rPr>
              <w:t>.4</w:t>
            </w:r>
            <w:r>
              <w:rPr>
                <w:sz w:val="21"/>
              </w:rPr>
              <w:t xml:space="preserve"> </w:t>
            </w:r>
            <w:r>
              <w:rPr>
                <w:sz w:val="21"/>
              </w:rPr>
              <w:t>绝缘</w:t>
            </w:r>
          </w:p>
          <w:p>
            <w:pPr>
              <w:ind w:firstLine="420"/>
              <w:jc w:val="both"/>
            </w:pPr>
            <w:r>
              <w:rPr>
                <w:sz w:val="21"/>
              </w:rPr>
              <w:t>电缆绝缘与绝缘屏蔽界面及绝缘屏蔽表面应无凹槽或凸起，截面为正圆形。绝缘标称厚度为</w:t>
            </w:r>
            <w:r>
              <w:rPr>
                <w:sz w:val="21"/>
              </w:rPr>
              <w:t>4.5mm，绝缘厚度平均值应不小于标称值，任一点最小测量厚度应不小于4.05mm。任一断面的偏心度不应大于8%。</w:t>
            </w:r>
          </w:p>
          <w:p>
            <w:pPr>
              <w:jc w:val="both"/>
            </w:pPr>
            <w:r>
              <w:rPr>
                <w:b/>
                <w:sz w:val="21"/>
              </w:rPr>
              <w:t>3</w:t>
            </w:r>
            <w:r>
              <w:rPr>
                <w:b/>
                <w:sz w:val="21"/>
              </w:rPr>
              <w:t>.</w:t>
            </w:r>
            <w:r>
              <w:rPr>
                <w:b/>
                <w:sz w:val="21"/>
              </w:rPr>
              <w:t>4</w:t>
            </w:r>
            <w:r>
              <w:rPr>
                <w:b/>
                <w:sz w:val="21"/>
              </w:rPr>
              <w:t>.5</w:t>
            </w:r>
            <w:r>
              <w:rPr>
                <w:sz w:val="21"/>
              </w:rPr>
              <w:t xml:space="preserve"> </w:t>
            </w:r>
            <w:r>
              <w:rPr>
                <w:sz w:val="21"/>
              </w:rPr>
              <w:t>绝缘屏蔽</w:t>
            </w:r>
          </w:p>
          <w:p>
            <w:pPr>
              <w:ind w:firstLine="420"/>
              <w:jc w:val="both"/>
            </w:pPr>
            <w:r>
              <w:rPr>
                <w:sz w:val="21"/>
              </w:rPr>
              <w:t>绝缘屏蔽的标称厚度为</w:t>
            </w:r>
            <w:r>
              <w:rPr>
                <w:sz w:val="21"/>
              </w:rPr>
              <w:t>0.8mm，平均厚度应不小于0.8mm，最薄处厚度应不小于0.7mm。绝缘屏蔽为挤包的可剥离半导电层，电阻率不大于400Ω•m，半导电层应均匀地包覆在绝缘上，表面应光滑，不应有尖角、颗粒、炼焦或擦伤的痕迹。从老化前后的试样绝缘上剥下挤包半导电屏蔽的剥离力不应小于4N和不大于45N，绝缘表面应无损伤及残留的半导电屏蔽痕迹。</w:t>
            </w:r>
          </w:p>
          <w:p>
            <w:pPr>
              <w:ind w:firstLine="420"/>
              <w:jc w:val="both"/>
            </w:pPr>
            <w:r>
              <w:rPr>
                <w:sz w:val="21"/>
              </w:rPr>
              <w:t>三芯电缆绝缘屏蔽与金属屏蔽之间应有沿缆芯纵向的相色（黄绿红）标志带，其宽度应不小于</w:t>
            </w:r>
            <w:r>
              <w:rPr>
                <w:sz w:val="21"/>
              </w:rPr>
              <w:t>2mm。</w:t>
            </w:r>
          </w:p>
          <w:p>
            <w:pPr>
              <w:jc w:val="both"/>
            </w:pPr>
            <w:r>
              <w:rPr>
                <w:b/>
                <w:sz w:val="21"/>
              </w:rPr>
              <w:t>3</w:t>
            </w:r>
            <w:r>
              <w:rPr>
                <w:b/>
                <w:sz w:val="21"/>
              </w:rPr>
              <w:t>.</w:t>
            </w:r>
            <w:r>
              <w:rPr>
                <w:b/>
                <w:sz w:val="21"/>
              </w:rPr>
              <w:t>4</w:t>
            </w:r>
            <w:r>
              <w:rPr>
                <w:b/>
                <w:sz w:val="21"/>
              </w:rPr>
              <w:t>.6</w:t>
            </w:r>
            <w:r>
              <w:rPr>
                <w:sz w:val="21"/>
              </w:rPr>
              <w:t xml:space="preserve"> </w:t>
            </w:r>
            <w:r>
              <w:rPr>
                <w:sz w:val="21"/>
              </w:rPr>
              <w:t>金属屏蔽</w:t>
            </w:r>
          </w:p>
          <w:p>
            <w:pPr>
              <w:ind w:firstLine="420"/>
              <w:jc w:val="both"/>
            </w:pPr>
            <w:r>
              <w:rPr>
                <w:sz w:val="21"/>
              </w:rPr>
              <w:t>金属屏蔽采用铜丝屏蔽或铜带屏蔽。金属屏蔽的标称截面应满足短路电流容量要求。铜丝屏蔽中铜丝的电阻应符合</w:t>
            </w:r>
            <w:r>
              <w:rPr>
                <w:sz w:val="21"/>
              </w:rPr>
              <w:t>GB/T 3956的要求。铜带屏蔽应由一根重叠绕包的软铜带组成，绕包连续均匀、平整光滑、没有断裂。</w:t>
            </w:r>
          </w:p>
          <w:p>
            <w:pPr>
              <w:jc w:val="both"/>
            </w:pPr>
            <w:r>
              <w:rPr>
                <w:b/>
                <w:sz w:val="21"/>
              </w:rPr>
              <w:t>3</w:t>
            </w:r>
            <w:r>
              <w:rPr>
                <w:b/>
                <w:sz w:val="21"/>
              </w:rPr>
              <w:t>.</w:t>
            </w:r>
            <w:r>
              <w:rPr>
                <w:b/>
                <w:sz w:val="21"/>
              </w:rPr>
              <w:t>4</w:t>
            </w:r>
            <w:r>
              <w:rPr>
                <w:b/>
                <w:sz w:val="21"/>
              </w:rPr>
              <w:t>.7</w:t>
            </w:r>
            <w:r>
              <w:rPr>
                <w:sz w:val="21"/>
              </w:rPr>
              <w:t>填充物</w:t>
            </w:r>
          </w:p>
          <w:p>
            <w:pPr>
              <w:ind w:firstLine="420"/>
              <w:jc w:val="both"/>
            </w:pPr>
            <w:r>
              <w:rPr>
                <w:sz w:val="21"/>
              </w:rPr>
              <w:t>用于填充物的材料应适合电缆的运行温度并与电缆绝缘材料相兼容，可采用非吸湿性聚丙烯网状撕裂填充绳或其它非吸湿性材料填充，应紧密无空隙。</w:t>
            </w:r>
          </w:p>
          <w:p>
            <w:pPr>
              <w:jc w:val="both"/>
            </w:pPr>
            <w:r>
              <w:rPr>
                <w:b/>
                <w:sz w:val="21"/>
              </w:rPr>
              <w:t>3</w:t>
            </w:r>
            <w:r>
              <w:rPr>
                <w:b/>
                <w:sz w:val="21"/>
              </w:rPr>
              <w:t>.</w:t>
            </w:r>
            <w:r>
              <w:rPr>
                <w:b/>
                <w:sz w:val="21"/>
              </w:rPr>
              <w:t>4</w:t>
            </w:r>
            <w:r>
              <w:rPr>
                <w:b/>
                <w:sz w:val="21"/>
              </w:rPr>
              <w:t>.8</w:t>
            </w:r>
            <w:r>
              <w:rPr>
                <w:sz w:val="21"/>
              </w:rPr>
              <w:t xml:space="preserve"> </w:t>
            </w:r>
            <w:r>
              <w:rPr>
                <w:sz w:val="21"/>
              </w:rPr>
              <w:t>隔离套</w:t>
            </w:r>
          </w:p>
          <w:p>
            <w:pPr>
              <w:ind w:firstLine="420"/>
              <w:jc w:val="both"/>
            </w:pPr>
            <w:r>
              <w:rPr>
                <w:sz w:val="21"/>
              </w:rPr>
              <w:t>隔离套应挤包，隔离套采用对应要求的聚氯乙烯、聚乙烯或无卤阻燃材料挤包，相关要求应满足</w:t>
            </w:r>
            <w:r>
              <w:rPr>
                <w:sz w:val="21"/>
              </w:rPr>
              <w:t>GB/T 12706.2要求。</w:t>
            </w:r>
          </w:p>
          <w:p>
            <w:pPr>
              <w:jc w:val="both"/>
            </w:pPr>
            <w:r>
              <w:rPr>
                <w:b/>
                <w:sz w:val="21"/>
              </w:rPr>
              <w:t>3</w:t>
            </w:r>
            <w:r>
              <w:rPr>
                <w:b/>
                <w:sz w:val="21"/>
              </w:rPr>
              <w:t>.</w:t>
            </w:r>
            <w:r>
              <w:rPr>
                <w:b/>
                <w:sz w:val="21"/>
              </w:rPr>
              <w:t>4</w:t>
            </w:r>
            <w:r>
              <w:rPr>
                <w:b/>
                <w:sz w:val="21"/>
              </w:rPr>
              <w:t>.9</w:t>
            </w:r>
            <w:r>
              <w:rPr>
                <w:sz w:val="21"/>
              </w:rPr>
              <w:t xml:space="preserve"> </w:t>
            </w:r>
            <w:r>
              <w:rPr>
                <w:sz w:val="21"/>
              </w:rPr>
              <w:t>金属铠装</w:t>
            </w:r>
          </w:p>
          <w:p>
            <w:pPr>
              <w:ind w:firstLine="420"/>
              <w:jc w:val="both"/>
            </w:pPr>
            <w:r>
              <w:rPr>
                <w:sz w:val="21"/>
              </w:rPr>
              <w:t>三芯电缆金属铠装应采用双层镀锌钢带，绕包应圆整光滑，铠装金属带标称厚度应符合</w:t>
            </w:r>
            <w:r>
              <w:rPr>
                <w:sz w:val="21"/>
              </w:rPr>
              <w:t>GB/T 12706.2 的要求</w:t>
            </w:r>
            <w:r>
              <w:rPr>
                <w:sz w:val="21"/>
              </w:rPr>
              <w:t>。</w:t>
            </w:r>
          </w:p>
          <w:p>
            <w:pPr>
              <w:jc w:val="both"/>
            </w:pPr>
            <w:r>
              <w:rPr>
                <w:b/>
                <w:sz w:val="21"/>
              </w:rPr>
              <w:t>3</w:t>
            </w:r>
            <w:r>
              <w:rPr>
                <w:b/>
                <w:sz w:val="21"/>
              </w:rPr>
              <w:t>.</w:t>
            </w:r>
            <w:r>
              <w:rPr>
                <w:b/>
                <w:sz w:val="21"/>
              </w:rPr>
              <w:t>4</w:t>
            </w:r>
            <w:r>
              <w:rPr>
                <w:b/>
                <w:sz w:val="21"/>
              </w:rPr>
              <w:t>.10</w:t>
            </w:r>
            <w:r>
              <w:rPr>
                <w:sz w:val="21"/>
              </w:rPr>
              <w:t xml:space="preserve"> </w:t>
            </w:r>
            <w:r>
              <w:rPr>
                <w:sz w:val="21"/>
              </w:rPr>
              <w:t>外护套</w:t>
            </w:r>
          </w:p>
          <w:p>
            <w:pPr>
              <w:ind w:firstLine="420"/>
              <w:jc w:val="both"/>
            </w:pPr>
            <w:r>
              <w:rPr>
                <w:sz w:val="21"/>
              </w:rPr>
              <w:t>外护套采用对应要求的聚氯乙烯、聚乙烯或无卤阻燃材料挤包，有特殊要求时可使用化学添加剂，但所使用的添加剂不应包括对人类及环境有害的材料。</w:t>
            </w:r>
          </w:p>
          <w:p>
            <w:pPr>
              <w:jc w:val="both"/>
            </w:pPr>
            <w:r>
              <w:rPr>
                <w:b/>
                <w:sz w:val="21"/>
              </w:rPr>
              <w:t>3</w:t>
            </w:r>
            <w:r>
              <w:rPr>
                <w:b/>
                <w:sz w:val="21"/>
              </w:rPr>
              <w:t>.</w:t>
            </w:r>
            <w:r>
              <w:rPr>
                <w:b/>
                <w:sz w:val="21"/>
              </w:rPr>
              <w:t>4</w:t>
            </w:r>
            <w:r>
              <w:rPr>
                <w:b/>
                <w:sz w:val="21"/>
              </w:rPr>
              <w:t>.11</w:t>
            </w:r>
            <w:r>
              <w:rPr>
                <w:sz w:val="21"/>
              </w:rPr>
              <w:t xml:space="preserve"> </w:t>
            </w:r>
            <w:r>
              <w:rPr>
                <w:sz w:val="21"/>
              </w:rPr>
              <w:t>电缆不圆度</w:t>
            </w:r>
          </w:p>
          <w:p>
            <w:pPr>
              <w:ind w:firstLine="420"/>
              <w:jc w:val="both"/>
            </w:pPr>
            <w:r>
              <w:rPr>
                <w:sz w:val="21"/>
              </w:rPr>
              <w:t>电缆不圆度不应大于</w:t>
            </w:r>
            <w:r>
              <w:rPr>
                <w:sz w:val="21"/>
              </w:rPr>
              <w:t>10%。</w:t>
            </w:r>
          </w:p>
          <w:p>
            <w:pPr>
              <w:jc w:val="both"/>
            </w:pPr>
            <w:r>
              <w:rPr>
                <w:b/>
                <w:sz w:val="21"/>
              </w:rPr>
              <w:t>3</w:t>
            </w:r>
            <w:r>
              <w:rPr>
                <w:b/>
                <w:sz w:val="21"/>
              </w:rPr>
              <w:t>.</w:t>
            </w:r>
            <w:r>
              <w:rPr>
                <w:b/>
                <w:sz w:val="21"/>
              </w:rPr>
              <w:t>4</w:t>
            </w:r>
            <w:r>
              <w:rPr>
                <w:b/>
                <w:sz w:val="21"/>
              </w:rPr>
              <w:t>.12</w:t>
            </w:r>
            <w:r>
              <w:rPr>
                <w:sz w:val="21"/>
              </w:rPr>
              <w:t xml:space="preserve"> </w:t>
            </w:r>
            <w:r>
              <w:rPr>
                <w:sz w:val="21"/>
              </w:rPr>
              <w:t>成品电缆标志</w:t>
            </w:r>
          </w:p>
          <w:p>
            <w:pPr>
              <w:ind w:firstLine="420"/>
              <w:jc w:val="both"/>
            </w:pPr>
            <w:r>
              <w:rPr>
                <w:sz w:val="21"/>
              </w:rPr>
              <w:t>成品电缆的表面应有制造厂名、产品型号及额定电压的连续标志，标志应字迹清楚，容易辨认，耐擦。</w:t>
            </w:r>
          </w:p>
          <w:p>
            <w:pPr>
              <w:jc w:val="both"/>
            </w:pPr>
            <w:r>
              <w:rPr>
                <w:b/>
                <w:sz w:val="21"/>
              </w:rPr>
              <w:t>3</w:t>
            </w:r>
            <w:r>
              <w:rPr>
                <w:b/>
                <w:sz w:val="21"/>
              </w:rPr>
              <w:t>.</w:t>
            </w:r>
            <w:r>
              <w:rPr>
                <w:b/>
                <w:sz w:val="21"/>
              </w:rPr>
              <w:t>4</w:t>
            </w:r>
            <w:r>
              <w:rPr>
                <w:b/>
                <w:sz w:val="21"/>
              </w:rPr>
              <w:t>.1</w:t>
            </w:r>
            <w:r>
              <w:rPr>
                <w:b/>
                <w:sz w:val="21"/>
              </w:rPr>
              <w:t>3</w:t>
            </w:r>
            <w:r>
              <w:rPr>
                <w:sz w:val="21"/>
              </w:rPr>
              <w:t xml:space="preserve"> </w:t>
            </w:r>
            <w:r>
              <w:rPr>
                <w:sz w:val="21"/>
              </w:rPr>
              <w:t>密封和牵引头</w:t>
            </w:r>
          </w:p>
          <w:p>
            <w:pPr>
              <w:ind w:firstLine="420"/>
              <w:jc w:val="both"/>
            </w:pPr>
            <w:r>
              <w:rPr>
                <w:sz w:val="21"/>
              </w:rPr>
              <w:t>电缆两端应用防水密封套密封，密封套和电缆的重叠长度应不小于</w:t>
            </w:r>
            <w:r>
              <w:rPr>
                <w:sz w:val="21"/>
              </w:rPr>
              <w:t>100mm，如有要求安装牵引头，牵引头应与线芯采用围压的连接方式并与电缆可靠密封，在运输、储存、敷设过程中保证电缆密封不失效。</w:t>
            </w:r>
          </w:p>
          <w:p>
            <w:pPr>
              <w:jc w:val="both"/>
            </w:pPr>
            <w:r>
              <w:rPr>
                <w:b/>
                <w:sz w:val="21"/>
              </w:rPr>
              <w:t>4、低压柜技术要求</w:t>
            </w:r>
          </w:p>
          <w:p>
            <w:r>
              <w:rPr>
                <w:b/>
                <w:sz w:val="21"/>
              </w:rPr>
              <w:t>4</w:t>
            </w:r>
            <w:r>
              <w:rPr>
                <w:b/>
                <w:sz w:val="21"/>
              </w:rPr>
              <w:t>.1</w:t>
            </w:r>
            <w:r>
              <w:rPr>
                <w:sz w:val="21"/>
              </w:rPr>
              <w:t>正常使用条件</w:t>
            </w:r>
          </w:p>
          <w:p>
            <w:r>
              <w:rPr>
                <w:b/>
                <w:sz w:val="21"/>
              </w:rPr>
              <w:t>4</w:t>
            </w:r>
            <w:r>
              <w:rPr>
                <w:b/>
                <w:sz w:val="21"/>
              </w:rPr>
              <w:t>.1.1</w:t>
            </w:r>
            <w:r>
              <w:rPr>
                <w:sz w:val="21"/>
              </w:rPr>
              <w:t>海拔高度：</w:t>
            </w:r>
            <w:r>
              <w:rPr>
                <w:sz w:val="21"/>
              </w:rPr>
              <w:t xml:space="preserve">    </w:t>
            </w:r>
            <w:r>
              <w:rPr>
                <w:sz w:val="21"/>
              </w:rPr>
              <w:t>≤2000m</w:t>
            </w:r>
          </w:p>
          <w:p>
            <w:r>
              <w:rPr>
                <w:b/>
                <w:sz w:val="21"/>
              </w:rPr>
              <w:t>4</w:t>
            </w:r>
            <w:r>
              <w:rPr>
                <w:b/>
                <w:sz w:val="21"/>
              </w:rPr>
              <w:t>.1.2</w:t>
            </w:r>
            <w:r>
              <w:rPr>
                <w:sz w:val="21"/>
              </w:rPr>
              <w:t>周围空气温度</w:t>
            </w:r>
          </w:p>
          <w:p>
            <w:pPr>
              <w:ind w:firstLine="420"/>
              <w:jc w:val="both"/>
            </w:pPr>
            <w:r>
              <w:rPr>
                <w:sz w:val="21"/>
              </w:rPr>
              <w:t>最高温度：</w:t>
            </w:r>
            <w:r>
              <w:rPr>
                <w:sz w:val="21"/>
              </w:rPr>
              <w:t>+45℃</w:t>
            </w:r>
          </w:p>
          <w:p>
            <w:pPr>
              <w:ind w:firstLine="420"/>
              <w:jc w:val="both"/>
            </w:pPr>
            <w:r>
              <w:rPr>
                <w:sz w:val="21"/>
              </w:rPr>
              <w:t>最热月平均温度：</w:t>
            </w:r>
            <w:r>
              <w:rPr>
                <w:sz w:val="21"/>
              </w:rPr>
              <w:t>+30℃</w:t>
            </w:r>
          </w:p>
          <w:p>
            <w:pPr>
              <w:ind w:firstLine="420"/>
              <w:jc w:val="both"/>
            </w:pPr>
            <w:r>
              <w:rPr>
                <w:sz w:val="21"/>
              </w:rPr>
              <w:t>最高年平均温度：</w:t>
            </w:r>
            <w:r>
              <w:rPr>
                <w:sz w:val="21"/>
              </w:rPr>
              <w:t>+20℃</w:t>
            </w:r>
          </w:p>
          <w:p>
            <w:pPr>
              <w:ind w:firstLine="420"/>
              <w:jc w:val="both"/>
            </w:pPr>
            <w:r>
              <w:rPr>
                <w:sz w:val="21"/>
              </w:rPr>
              <w:t>最低气温：</w:t>
            </w:r>
            <w:r>
              <w:rPr>
                <w:sz w:val="21"/>
              </w:rPr>
              <w:t>-25℃（户外）</w:t>
            </w:r>
          </w:p>
          <w:p>
            <w:pPr>
              <w:ind w:firstLine="420"/>
              <w:jc w:val="both"/>
            </w:pPr>
            <w:r>
              <w:rPr>
                <w:sz w:val="21"/>
              </w:rPr>
              <w:t>最低气温：</w:t>
            </w:r>
            <w:r>
              <w:rPr>
                <w:sz w:val="21"/>
              </w:rPr>
              <w:t>“-5”级为-5℃</w:t>
            </w:r>
          </w:p>
          <w:p>
            <w:pPr>
              <w:ind w:firstLine="1470"/>
              <w:jc w:val="both"/>
            </w:pPr>
            <w:r>
              <w:rPr>
                <w:sz w:val="21"/>
              </w:rPr>
              <w:t>“-15”级为-15℃</w:t>
            </w:r>
          </w:p>
          <w:p>
            <w:pPr>
              <w:ind w:firstLine="1470"/>
              <w:jc w:val="both"/>
            </w:pPr>
            <w:r>
              <w:rPr>
                <w:sz w:val="21"/>
              </w:rPr>
              <w:t>“-25”级为-25℃</w:t>
            </w:r>
          </w:p>
          <w:p>
            <w:pPr>
              <w:ind w:firstLine="420"/>
              <w:jc w:val="both"/>
            </w:pPr>
            <w:r>
              <w:rPr>
                <w:sz w:val="21"/>
              </w:rPr>
              <w:t>周围空气温度最高不超过</w:t>
            </w:r>
            <w:r>
              <w:rPr>
                <w:sz w:val="21"/>
              </w:rPr>
              <w:t>70℃，最低温度为-25℃；日温差为30K。</w:t>
            </w:r>
          </w:p>
          <w:p>
            <w:r>
              <w:rPr>
                <w:b/>
                <w:sz w:val="21"/>
              </w:rPr>
              <w:t>4</w:t>
            </w:r>
            <w:r>
              <w:rPr>
                <w:b/>
                <w:sz w:val="21"/>
              </w:rPr>
              <w:t>.1.3</w:t>
            </w:r>
            <w:r>
              <w:rPr>
                <w:sz w:val="21"/>
              </w:rPr>
              <w:t>环境相对湿度（在</w:t>
            </w:r>
            <w:r>
              <w:rPr>
                <w:sz w:val="21"/>
              </w:rPr>
              <w:t>25℃时）</w:t>
            </w:r>
          </w:p>
          <w:p>
            <w:r>
              <w:rPr>
                <w:sz w:val="21"/>
              </w:rPr>
              <w:t>a)</w:t>
            </w:r>
            <w:r>
              <w:rPr>
                <w:sz w:val="21"/>
              </w:rPr>
              <w:t>日平均值不超过：</w:t>
            </w:r>
            <w:r>
              <w:rPr>
                <w:sz w:val="21"/>
              </w:rPr>
              <w:t>100%；</w:t>
            </w:r>
          </w:p>
          <w:p>
            <w:r>
              <w:rPr>
                <w:sz w:val="21"/>
              </w:rPr>
              <w:t>b) 月平均值不超过：95%；</w:t>
            </w:r>
          </w:p>
          <w:p>
            <w:r>
              <w:rPr>
                <w:sz w:val="21"/>
              </w:rPr>
              <w:t>c) 最大绝对湿度：35g/m3。</w:t>
            </w:r>
          </w:p>
          <w:p>
            <w:r>
              <w:rPr>
                <w:b/>
                <w:sz w:val="21"/>
              </w:rPr>
              <w:t>4</w:t>
            </w:r>
            <w:r>
              <w:rPr>
                <w:b/>
                <w:sz w:val="21"/>
              </w:rPr>
              <w:t>.1.4</w:t>
            </w:r>
            <w:r>
              <w:rPr>
                <w:sz w:val="21"/>
              </w:rPr>
              <w:t>地震烈度：</w:t>
            </w:r>
            <w:r>
              <w:rPr>
                <w:sz w:val="21"/>
              </w:rPr>
              <w:t xml:space="preserve">    </w:t>
            </w:r>
            <w:r>
              <w:rPr>
                <w:sz w:val="21"/>
              </w:rPr>
              <w:t>Ⅷ 度</w:t>
            </w:r>
          </w:p>
          <w:p>
            <w:pPr>
              <w:ind w:firstLine="630"/>
              <w:jc w:val="both"/>
            </w:pPr>
            <w:r>
              <w:rPr>
                <w:sz w:val="21"/>
              </w:rPr>
              <w:t>水平加速度：</w:t>
            </w:r>
            <w:r>
              <w:rPr>
                <w:sz w:val="21"/>
              </w:rPr>
              <w:t>0.25g</w:t>
            </w:r>
          </w:p>
          <w:p>
            <w:pPr>
              <w:ind w:firstLine="630"/>
              <w:jc w:val="both"/>
            </w:pPr>
            <w:r>
              <w:rPr>
                <w:sz w:val="21"/>
              </w:rPr>
              <w:t>垂直加速度：</w:t>
            </w:r>
            <w:r>
              <w:rPr>
                <w:sz w:val="21"/>
              </w:rPr>
              <w:t>0.125g</w:t>
            </w:r>
          </w:p>
          <w:p>
            <w:pPr>
              <w:ind w:firstLine="630"/>
              <w:jc w:val="both"/>
            </w:pPr>
            <w:r>
              <w:rPr>
                <w:sz w:val="21"/>
              </w:rPr>
              <w:t>共振、正弦拍波试验法，激振</w:t>
            </w:r>
            <w:r>
              <w:rPr>
                <w:sz w:val="21"/>
              </w:rPr>
              <w:t>5次，每次持续时间5个周波，各次间隔2s，并考虑其端部连接导线振动和导线张力的影响。安全系数不小于1.67。设备本体水平加速度应计及设备支架的动力放大系数1.2。</w:t>
            </w:r>
          </w:p>
          <w:p>
            <w:pPr>
              <w:jc w:val="both"/>
            </w:pPr>
            <w:r>
              <w:rPr>
                <w:b/>
                <w:sz w:val="21"/>
              </w:rPr>
              <w:t>4</w:t>
            </w:r>
            <w:r>
              <w:rPr>
                <w:b/>
                <w:sz w:val="21"/>
              </w:rPr>
              <w:t>.1.5</w:t>
            </w:r>
            <w:r>
              <w:rPr>
                <w:sz w:val="21"/>
              </w:rPr>
              <w:t>污秽等级</w:t>
            </w:r>
          </w:p>
          <w:p>
            <w:pPr>
              <w:ind w:firstLine="420"/>
              <w:jc w:val="both"/>
            </w:pPr>
            <w:r>
              <w:rPr>
                <w:sz w:val="21"/>
              </w:rPr>
              <w:t>对于</w:t>
            </w:r>
            <w:r>
              <w:rPr>
                <w:sz w:val="21"/>
              </w:rPr>
              <w:t>d级以下污秽等级的地区统一按d级防污选取设备的爬电比距。</w:t>
            </w:r>
          </w:p>
          <w:p>
            <w:pPr>
              <w:ind w:firstLine="420"/>
              <w:jc w:val="both"/>
            </w:pPr>
            <w:r>
              <w:rPr>
                <w:sz w:val="21"/>
              </w:rPr>
              <w:t>d级污秽地区及以上污秽等级的地区统一按e级防污选取设备的爬电比距。</w:t>
            </w:r>
          </w:p>
          <w:p>
            <w:r>
              <w:rPr>
                <w:b/>
                <w:sz w:val="21"/>
              </w:rPr>
              <w:t>4</w:t>
            </w:r>
            <w:r>
              <w:rPr>
                <w:b/>
                <w:sz w:val="21"/>
              </w:rPr>
              <w:t>.1.6</w:t>
            </w:r>
            <w:r>
              <w:rPr>
                <w:sz w:val="21"/>
              </w:rPr>
              <w:t xml:space="preserve"> </w:t>
            </w:r>
            <w:r>
              <w:rPr>
                <w:sz w:val="21"/>
              </w:rPr>
              <w:t>安装地点：户内</w:t>
            </w:r>
          </w:p>
          <w:p>
            <w:r>
              <w:rPr>
                <w:b/>
                <w:sz w:val="21"/>
              </w:rPr>
              <w:t>4</w:t>
            </w:r>
            <w:r>
              <w:rPr>
                <w:b/>
                <w:sz w:val="21"/>
              </w:rPr>
              <w:t>.</w:t>
            </w:r>
            <w:r>
              <w:rPr>
                <w:b/>
                <w:sz w:val="21"/>
              </w:rPr>
              <w:t>2</w:t>
            </w:r>
            <w:r>
              <w:rPr>
                <w:sz w:val="21"/>
              </w:rPr>
              <w:t>系统条件要求</w:t>
            </w:r>
          </w:p>
          <w:p>
            <w:pPr>
              <w:jc w:val="both"/>
            </w:pPr>
            <w:r>
              <w:rPr>
                <w:b/>
                <w:sz w:val="21"/>
              </w:rPr>
              <w:t>4</w:t>
            </w:r>
            <w:r>
              <w:rPr>
                <w:b/>
                <w:sz w:val="21"/>
              </w:rPr>
              <w:t>.</w:t>
            </w:r>
            <w:r>
              <w:rPr>
                <w:b/>
                <w:sz w:val="21"/>
              </w:rPr>
              <w:t>2</w:t>
            </w:r>
            <w:r>
              <w:rPr>
                <w:b/>
                <w:sz w:val="21"/>
              </w:rPr>
              <w:t>.1</w:t>
            </w:r>
            <w:r>
              <w:rPr>
                <w:sz w:val="21"/>
              </w:rPr>
              <w:t>系统额定频率：</w:t>
            </w:r>
            <w:r>
              <w:rPr>
                <w:sz w:val="21"/>
              </w:rPr>
              <w:t>50Hz</w:t>
            </w:r>
          </w:p>
          <w:p>
            <w:pPr>
              <w:jc w:val="both"/>
            </w:pPr>
            <w:r>
              <w:rPr>
                <w:b/>
                <w:sz w:val="21"/>
              </w:rPr>
              <w:t>4</w:t>
            </w:r>
            <w:r>
              <w:rPr>
                <w:b/>
                <w:sz w:val="21"/>
              </w:rPr>
              <w:t>.</w:t>
            </w:r>
            <w:r>
              <w:rPr>
                <w:b/>
                <w:sz w:val="21"/>
              </w:rPr>
              <w:t>2</w:t>
            </w:r>
            <w:r>
              <w:rPr>
                <w:b/>
                <w:sz w:val="21"/>
              </w:rPr>
              <w:t>.2</w:t>
            </w:r>
            <w:r>
              <w:rPr>
                <w:sz w:val="21"/>
              </w:rPr>
              <w:t>系统标称电压：</w:t>
            </w:r>
            <w:r>
              <w:rPr>
                <w:sz w:val="21"/>
              </w:rPr>
              <w:t>400V</w:t>
            </w:r>
          </w:p>
          <w:p>
            <w:r>
              <w:rPr>
                <w:b/>
                <w:sz w:val="21"/>
              </w:rPr>
              <w:t>4.3设计与结构要求</w:t>
            </w:r>
          </w:p>
          <w:p>
            <w:r>
              <w:rPr>
                <w:sz w:val="21"/>
              </w:rPr>
              <w:t>4.3</w:t>
            </w:r>
            <w:r>
              <w:rPr>
                <w:sz w:val="21"/>
              </w:rPr>
              <w:t>.1.1 柜体应有自然通风口和隔热措施，以确保在正常环境温度下，所有电器设备的运行温度不超过</w:t>
            </w:r>
            <w:r>
              <w:rPr>
                <w:sz w:val="21"/>
              </w:rPr>
              <w:t>其最高允许温度，但不应降低装置整体的防护等级。散热孔应安装纱网或采用桥型通风孔形式，间隙满足不应低于</w:t>
            </w:r>
            <w:r>
              <w:rPr>
                <w:sz w:val="21"/>
              </w:rPr>
              <w:t>IP 3XD的要求，穿线孔应安装电缆防护套，过门接地线应安装防护套。</w:t>
            </w:r>
          </w:p>
          <w:p>
            <w:r>
              <w:rPr>
                <w:sz w:val="21"/>
              </w:rPr>
              <w:t>4</w:t>
            </w:r>
            <w:r>
              <w:rPr>
                <w:sz w:val="21"/>
              </w:rPr>
              <w:t>.3.1.2开关柜的结构应保证工作人员的安全和便于运行、维护、检查、监视、检修和试验。抽出式馈</w:t>
            </w:r>
            <w:r>
              <w:rPr>
                <w:sz w:val="21"/>
              </w:rPr>
              <w:t>线柜应实现带电单回路检修，柜内防护等级不低于</w:t>
            </w:r>
            <w:r>
              <w:rPr>
                <w:sz w:val="21"/>
              </w:rPr>
              <w:t>IP2X。</w:t>
            </w:r>
          </w:p>
          <w:p>
            <w:r>
              <w:rPr>
                <w:sz w:val="21"/>
              </w:rPr>
              <w:t>4</w:t>
            </w:r>
            <w:r>
              <w:rPr>
                <w:sz w:val="21"/>
              </w:rPr>
              <w:t>.3.1.</w:t>
            </w:r>
            <w:r>
              <w:rPr>
                <w:sz w:val="21"/>
              </w:rPr>
              <w:t>3</w:t>
            </w:r>
            <w:r>
              <w:rPr>
                <w:sz w:val="21"/>
              </w:rPr>
              <w:t>标准化</w:t>
            </w:r>
            <w:r>
              <w:rPr>
                <w:sz w:val="21"/>
              </w:rPr>
              <w:t>单元进线、母联、馈线柜设计与结构要求</w:t>
            </w:r>
          </w:p>
          <w:p>
            <w:pPr>
              <w:ind w:firstLine="424"/>
            </w:pPr>
            <w:r>
              <w:rPr>
                <w:sz w:val="21"/>
              </w:rPr>
              <w:t>标准化单元进</w:t>
            </w:r>
            <w:r>
              <w:rPr>
                <w:sz w:val="21"/>
              </w:rPr>
              <w:t>线、母联</w:t>
            </w:r>
            <w:r>
              <w:rPr>
                <w:sz w:val="21"/>
              </w:rPr>
              <w:t>柜框架断路器安装方式为抽出式，应可实现隔离</w:t>
            </w:r>
            <w:r>
              <w:rPr>
                <w:sz w:val="21"/>
              </w:rPr>
              <w:t>-试验-连接三个位置的操作，并且三个位置有明显的标识。</w:t>
            </w:r>
          </w:p>
          <w:p>
            <w:r>
              <w:rPr>
                <w:sz w:val="21"/>
              </w:rPr>
              <w:t>a）</w:t>
            </w:r>
            <w:r>
              <w:rPr>
                <w:sz w:val="21"/>
              </w:rPr>
              <w:t>抽出式馈线柜</w:t>
            </w:r>
          </w:p>
          <w:p>
            <w:r>
              <w:rPr>
                <w:sz w:val="21"/>
              </w:rPr>
              <w:t>出线抽屉推进联锁机构具有工作、试验及分离工位，并带有机械声音提示，电气接点与位置同步，标识符合</w:t>
            </w:r>
            <w:r>
              <w:rPr>
                <w:sz w:val="21"/>
              </w:rPr>
              <w:t>GB</w:t>
            </w:r>
            <w:r>
              <w:rPr>
                <w:sz w:val="21"/>
              </w:rPr>
              <w:t>/T 14048.1</w:t>
            </w:r>
            <w:r>
              <w:rPr>
                <w:sz w:val="21"/>
              </w:rPr>
              <w:t>标准要求，操作把手上应能悬挂机械锁。抽屉可以推进移出柜体，抽出时应有防掉落设计，</w:t>
            </w:r>
            <w:r>
              <w:rPr>
                <w:sz w:val="21"/>
              </w:rPr>
              <w:t>带有可抽出式部件的成套设备在试验位置和隔离位置以及从一个位置向另一个位置转移时的防护等级应满足</w:t>
            </w:r>
            <w:r>
              <w:rPr>
                <w:sz w:val="21"/>
              </w:rPr>
              <w:t>IP</w:t>
            </w:r>
            <w:r>
              <w:rPr>
                <w:sz w:val="21"/>
              </w:rPr>
              <w:t>2X</w:t>
            </w:r>
            <w:r>
              <w:rPr>
                <w:sz w:val="21"/>
              </w:rPr>
              <w:t>要求。抽屉单元的开关应能在打开面板、无需拆除零部件的情况下调整保护整定值，且整定值可视；抽屉单元的开关应能在合闸情况下打开面板机构。</w:t>
            </w:r>
          </w:p>
          <w:p>
            <w:r>
              <w:rPr>
                <w:sz w:val="21"/>
              </w:rPr>
              <w:t>b）固定分隔式馈线柜</w:t>
            </w:r>
          </w:p>
          <w:p>
            <w:pPr>
              <w:ind w:firstLine="424"/>
            </w:pPr>
            <w:r>
              <w:rPr>
                <w:sz w:val="21"/>
              </w:rPr>
              <w:t>出线采用插拔式断路器或固定式断路器加模块化底座组合方式，一二次由模块化设计，一次、二次模块均应能独立检修，二次模块检修不影响供电连续性，实现出线回路的插拔检修功能；出线单元为分隔式设计，单元之间具备防燃、防爆隔离；出线单元在插拔时应有防掉落设计，一次进出线应有电气防护罩，将带电部位全部隔离，防止误碰。可插拔部件从一个位置向另一个位置转移时的防护等级应满足</w:t>
            </w:r>
            <w:r>
              <w:rPr>
                <w:sz w:val="21"/>
              </w:rPr>
              <w:t>IP2X</w:t>
            </w:r>
            <w:r>
              <w:rPr>
                <w:sz w:val="21"/>
              </w:rPr>
              <w:t>要求。固定分隔单元的开关应能在打开面板、无需拆除零部件的情况下调整保护整定值，且整定值可视；固定分隔单元的开关应能在合闸情况下打开面板机构。</w:t>
            </w:r>
          </w:p>
          <w:p>
            <w:r>
              <w:rPr>
                <w:sz w:val="21"/>
              </w:rPr>
              <w:t>c）固定式馈线柜</w:t>
            </w:r>
          </w:p>
          <w:p>
            <w:r>
              <w:rPr>
                <w:sz w:val="21"/>
              </w:rPr>
              <w:t>出线断路器采用固定式或插拔式，每面柜设置隔离开关；开关柜出线断路器应配内门板，实现出线开关板前操作。</w:t>
            </w:r>
          </w:p>
          <w:p>
            <w:r>
              <w:rPr>
                <w:sz w:val="21"/>
              </w:rPr>
              <w:t>4</w:t>
            </w:r>
            <w:r>
              <w:rPr>
                <w:sz w:val="21"/>
              </w:rPr>
              <w:t>.3.1.4 对组（部）件的要求</w:t>
            </w:r>
          </w:p>
          <w:p>
            <w:r>
              <w:rPr>
                <w:sz w:val="21"/>
              </w:rPr>
              <w:t>a）</w:t>
            </w:r>
            <w:r>
              <w:rPr>
                <w:sz w:val="21"/>
              </w:rPr>
              <w:t>同型产品内额定值和结构相同的组件应能互换。同类元器件的接插件应具有通用性和互换性，</w:t>
            </w:r>
            <w:r>
              <w:rPr>
                <w:sz w:val="21"/>
              </w:rPr>
              <w:t>应接触可靠、插拔方便</w:t>
            </w:r>
            <w:r>
              <w:rPr>
                <w:sz w:val="21"/>
              </w:rPr>
              <w:t>。插接件的接触电阻、插拔力，允许电流及寿命，均应符合国家及行业现行标准要求。</w:t>
            </w:r>
          </w:p>
          <w:p>
            <w:r>
              <w:rPr>
                <w:sz w:val="21"/>
              </w:rPr>
              <w:t>b）装于开关柜上的各组件，应符合它们各自的技术标准。</w:t>
            </w:r>
          </w:p>
          <w:p>
            <w:r>
              <w:rPr>
                <w:sz w:val="21"/>
              </w:rPr>
              <w:t>c）开关柜供货应包括柜内及柜间连接母线，母线电压、电流采样上端子，端子设于柜顶正前面独立二次小室内，方便引接至测控屏。</w:t>
            </w:r>
          </w:p>
          <w:p>
            <w:r>
              <w:rPr>
                <w:sz w:val="21"/>
              </w:rPr>
              <w:t>d）柜内二次线沿线槽，线槽颜色采用工业灰（RAL7035），材质为PVC阻燃材料。</w:t>
            </w:r>
          </w:p>
          <w:p>
            <w:r>
              <w:rPr>
                <w:sz w:val="21"/>
              </w:rPr>
              <w:t>e）控制、信号等二次回路及元件应能承受工频试验电压符合表6-8规定。</w:t>
            </w:r>
          </w:p>
          <w:p>
            <w:r>
              <w:rPr>
                <w:sz w:val="21"/>
              </w:rPr>
              <w:t>f）裸露带电部位需配置透明阻燃防护罩。</w:t>
            </w:r>
          </w:p>
          <w:p>
            <w:r>
              <w:rPr>
                <w:sz w:val="21"/>
              </w:rPr>
              <w:t>g）馈线柜开关额定电流Ie≤250A，抽屉内开关与母线可采用电缆连接；Ie&gt;250A时，必须采用铜排连接。</w:t>
            </w:r>
          </w:p>
          <w:p>
            <w:r>
              <w:rPr>
                <w:sz w:val="21"/>
              </w:rPr>
              <w:t>4</w:t>
            </w:r>
            <w:r>
              <w:rPr>
                <w:sz w:val="21"/>
              </w:rPr>
              <w:t>.3.1.5开关柜功能要求</w:t>
            </w:r>
          </w:p>
          <w:p>
            <w:r>
              <w:rPr>
                <w:sz w:val="21"/>
              </w:rPr>
              <w:t>a）进线、母联单元柜的闭锁功能：要求带机械电气双闭锁功能，避免两路电源并列运行，机械闭锁可采用钥匙或钢缆。</w:t>
            </w:r>
          </w:p>
          <w:p>
            <w:r>
              <w:rPr>
                <w:sz w:val="21"/>
              </w:rPr>
              <w:t>b）市发电切换柜的闭锁功能：要求带机械电气双闭锁功能，避免两路电源并列运行，机械闭锁可采用钢缆。</w:t>
            </w:r>
          </w:p>
          <w:p>
            <w:r>
              <w:rPr>
                <w:sz w:val="21"/>
              </w:rPr>
              <w:t>c</w:t>
            </w:r>
            <w:r>
              <w:rPr>
                <w:sz w:val="21"/>
              </w:rPr>
              <w:t>）检修状态功能：可通过选择开关，将开关置于</w:t>
            </w:r>
            <w:r>
              <w:rPr>
                <w:sz w:val="21"/>
              </w:rPr>
              <w:t>“手动”位，方便检修人员进行维修。</w:t>
            </w:r>
          </w:p>
          <w:p>
            <w:r>
              <w:rPr>
                <w:sz w:val="21"/>
              </w:rPr>
              <w:t>4</w:t>
            </w:r>
            <w:r>
              <w:rPr>
                <w:sz w:val="21"/>
              </w:rPr>
              <w:t>.3.1.</w:t>
            </w:r>
            <w:r>
              <w:rPr>
                <w:sz w:val="21"/>
              </w:rPr>
              <w:t>6</w:t>
            </w:r>
            <w:r>
              <w:rPr>
                <w:sz w:val="21"/>
              </w:rPr>
              <w:t xml:space="preserve"> </w:t>
            </w:r>
            <w:r>
              <w:rPr>
                <w:sz w:val="21"/>
              </w:rPr>
              <w:t>元器件的要求</w:t>
            </w:r>
          </w:p>
          <w:p>
            <w:r>
              <w:rPr>
                <w:sz w:val="21"/>
              </w:rPr>
              <w:t>a）柜内安装的元器件均应有产品合格证或证明质量合格的文件，不得选用淘汰的、落后的元器件。</w:t>
            </w:r>
          </w:p>
          <w:p>
            <w:r>
              <w:rPr>
                <w:sz w:val="21"/>
              </w:rPr>
              <w:t>b）铜排、导线、导线颜色、指示灯、按钮、行线槽、涂漆，均应符合国家或行业现行有关标准的规定。</w:t>
            </w:r>
          </w:p>
          <w:p>
            <w:r>
              <w:rPr>
                <w:sz w:val="21"/>
              </w:rPr>
              <w:t>c）智能监测装置量程应在测量范围内，测量最大值应在满量程85%以上</w:t>
            </w:r>
            <w:r>
              <w:rPr>
                <w:sz w:val="21"/>
              </w:rPr>
              <w:t>。</w:t>
            </w:r>
          </w:p>
          <w:p>
            <w:r>
              <w:rPr>
                <w:sz w:val="21"/>
              </w:rPr>
              <w:t>d）低压断路器应具有安—秒特性曲线，上下级应大于2级的配合级差。</w:t>
            </w:r>
          </w:p>
          <w:p>
            <w:r>
              <w:rPr>
                <w:sz w:val="21"/>
              </w:rPr>
              <w:t>4</w:t>
            </w:r>
            <w:r>
              <w:rPr>
                <w:sz w:val="21"/>
              </w:rPr>
              <w:t>.3.1.</w:t>
            </w:r>
            <w:r>
              <w:rPr>
                <w:sz w:val="21"/>
              </w:rPr>
              <w:t>7</w:t>
            </w:r>
            <w:r>
              <w:rPr>
                <w:sz w:val="21"/>
              </w:rPr>
              <w:t xml:space="preserve"> </w:t>
            </w:r>
            <w:r>
              <w:rPr>
                <w:sz w:val="21"/>
              </w:rPr>
              <w:t>电气间隙和爬电距离</w:t>
            </w:r>
          </w:p>
          <w:p>
            <w:r>
              <w:rPr>
                <w:sz w:val="21"/>
              </w:rPr>
              <w:t>柜内两带电导体之间、带电导体与裸露的不带电导体之间的最小距离应符合下表规定的最小电气间隙和爬电距离的要求。</w:t>
            </w:r>
          </w:p>
          <w:p>
            <w:r>
              <w:rPr>
                <w:sz w:val="21"/>
              </w:rPr>
              <w:t>4</w:t>
            </w:r>
            <w:r>
              <w:rPr>
                <w:sz w:val="21"/>
              </w:rPr>
              <w:t>.3.1.</w:t>
            </w:r>
            <w:r>
              <w:rPr>
                <w:sz w:val="21"/>
              </w:rPr>
              <w:t>8</w:t>
            </w:r>
            <w:r>
              <w:rPr>
                <w:sz w:val="21"/>
              </w:rPr>
              <w:t>电气绝缘性能</w:t>
            </w:r>
          </w:p>
          <w:p>
            <w:r>
              <w:rPr>
                <w:sz w:val="21"/>
              </w:rPr>
              <w:t>柜内汇流排和电压小母线，在开断其所有其他连接支线时，对地的绝缘电阻不小于</w:t>
            </w:r>
            <w:r>
              <w:rPr>
                <w:sz w:val="21"/>
              </w:rPr>
              <w:t>1000Ω/V。</w:t>
            </w:r>
          </w:p>
          <w:p>
            <w:r>
              <w:rPr>
                <w:sz w:val="21"/>
              </w:rPr>
              <w:t>主回路的冲击耐受电压按照</w:t>
            </w:r>
            <w:r>
              <w:rPr>
                <w:sz w:val="21"/>
              </w:rPr>
              <w:t>GB/T 7251.1－2013 9.1.3.1 要求进行。柜内各带电电路与地（金属框架）之间，按其工作电压应能承受上表中所规定标准雷电波的短时冲击电压的试验。试验过程中应无击穿放电。</w:t>
            </w:r>
          </w:p>
          <w:p>
            <w:pPr>
              <w:jc w:val="both"/>
            </w:pPr>
            <w:r>
              <w:rPr>
                <w:b/>
                <w:sz w:val="21"/>
              </w:rPr>
              <w:t>5、母线槽技术要求</w:t>
            </w:r>
          </w:p>
          <w:p>
            <w:r>
              <w:rPr>
                <w:b/>
                <w:sz w:val="21"/>
              </w:rPr>
              <w:t>5</w:t>
            </w:r>
            <w:r>
              <w:rPr>
                <w:b/>
                <w:sz w:val="21"/>
              </w:rPr>
              <w:t>.1</w:t>
            </w:r>
            <w:r>
              <w:rPr>
                <w:sz w:val="21"/>
              </w:rPr>
              <w:t>正常使用条件</w:t>
            </w:r>
          </w:p>
          <w:p>
            <w:pPr>
              <w:ind w:firstLine="420"/>
              <w:jc w:val="both"/>
            </w:pPr>
            <w:r>
              <w:rPr>
                <w:sz w:val="21"/>
              </w:rPr>
              <w:t>5</w:t>
            </w:r>
            <w:r>
              <w:rPr>
                <w:sz w:val="21"/>
              </w:rPr>
              <w:t>.1.1  周围空气温度</w:t>
            </w:r>
          </w:p>
          <w:p>
            <w:pPr>
              <w:ind w:firstLine="420"/>
              <w:jc w:val="both"/>
            </w:pPr>
            <w:r>
              <w:rPr>
                <w:sz w:val="21"/>
              </w:rPr>
              <w:t>周围空气温度不得超过</w:t>
            </w:r>
            <w:r>
              <w:rPr>
                <w:sz w:val="21"/>
              </w:rPr>
              <w:t>+40℃ ，而且在于24h内其平均温度不得超过+35℃，周围空气温度的下限为-5℃。</w:t>
            </w:r>
          </w:p>
          <w:p>
            <w:pPr>
              <w:ind w:firstLine="420"/>
              <w:jc w:val="both"/>
            </w:pPr>
            <w:r>
              <w:rPr>
                <w:sz w:val="21"/>
              </w:rPr>
              <w:t>5</w:t>
            </w:r>
            <w:r>
              <w:rPr>
                <w:sz w:val="21"/>
              </w:rPr>
              <w:t>.1.2  大气条件</w:t>
            </w:r>
          </w:p>
          <w:p>
            <w:pPr>
              <w:ind w:firstLine="420"/>
              <w:jc w:val="both"/>
            </w:pPr>
            <w:r>
              <w:rPr>
                <w:sz w:val="21"/>
              </w:rPr>
              <w:t>空气清洁，在最高温度为</w:t>
            </w:r>
            <w:r>
              <w:rPr>
                <w:sz w:val="21"/>
              </w:rPr>
              <w:t>+40℃时，其相对湿度不得超过50%。在较低温度时，允许有较大的相对湿度，例如：+20℃时相对温度为90%。但应考虑到由于温度的变化，有可能会偶然地产生适度的凝露。</w:t>
            </w:r>
          </w:p>
          <w:p>
            <w:pPr>
              <w:ind w:firstLine="420"/>
              <w:jc w:val="both"/>
            </w:pPr>
            <w:r>
              <w:rPr>
                <w:sz w:val="21"/>
              </w:rPr>
              <w:t>5</w:t>
            </w:r>
            <w:r>
              <w:rPr>
                <w:sz w:val="21"/>
              </w:rPr>
              <w:t>.1.3  海拔高度</w:t>
            </w:r>
          </w:p>
          <w:p>
            <w:pPr>
              <w:ind w:firstLine="420"/>
              <w:jc w:val="both"/>
            </w:pPr>
            <w:r>
              <w:rPr>
                <w:sz w:val="21"/>
              </w:rPr>
              <w:t>安装场地的海拔高度不得超过</w:t>
            </w:r>
            <w:r>
              <w:rPr>
                <w:sz w:val="21"/>
              </w:rPr>
              <w:t>2000m。</w:t>
            </w:r>
          </w:p>
          <w:p>
            <w:pPr>
              <w:ind w:firstLine="420"/>
              <w:jc w:val="both"/>
            </w:pPr>
            <w:r>
              <w:rPr>
                <w:sz w:val="21"/>
              </w:rPr>
              <w:t>5</w:t>
            </w:r>
            <w:r>
              <w:rPr>
                <w:sz w:val="21"/>
              </w:rPr>
              <w:t>.1.4  污染等级</w:t>
            </w:r>
          </w:p>
          <w:p>
            <w:pPr>
              <w:ind w:firstLine="420"/>
              <w:jc w:val="both"/>
            </w:pPr>
            <w:r>
              <w:rPr>
                <w:sz w:val="21"/>
              </w:rPr>
              <w:t>污染等级按</w:t>
            </w:r>
            <w:r>
              <w:rPr>
                <w:sz w:val="21"/>
              </w:rPr>
              <w:t>GB 7251.1——2005中6.1.2.3的规定选3级。</w:t>
            </w:r>
          </w:p>
          <w:p>
            <w:r>
              <w:rPr>
                <w:b/>
                <w:sz w:val="21"/>
              </w:rPr>
              <w:t>5.2设计与结构要求</w:t>
            </w:r>
          </w:p>
          <w:p>
            <w:pPr>
              <w:ind w:firstLine="420"/>
            </w:pPr>
            <w:r>
              <w:rPr>
                <w:sz w:val="21"/>
              </w:rPr>
              <w:t>5</w:t>
            </w:r>
            <w:r>
              <w:rPr>
                <w:sz w:val="21"/>
              </w:rPr>
              <w:t>.2.1总则</w:t>
            </w:r>
          </w:p>
          <w:p>
            <w:pPr>
              <w:ind w:firstLine="420"/>
              <w:jc w:val="both"/>
            </w:pPr>
            <w:r>
              <w:rPr>
                <w:sz w:val="21"/>
              </w:rPr>
              <w:t>母线槽分为插接式密集绝缘母线槽和馈电式密集绝缘母线槽，并分别由各种母线槽单元组成。</w:t>
            </w:r>
          </w:p>
          <w:p>
            <w:pPr>
              <w:ind w:firstLine="420"/>
              <w:jc w:val="both"/>
            </w:pPr>
            <w:r>
              <w:rPr>
                <w:sz w:val="21"/>
              </w:rPr>
              <w:t>母线槽的结构必须安全可靠，操作方便，维修容易，同时应能承受本标准规定的机械、电和热应力的材料构成，材料应进行合适的表面处理或采用合适的防腐蚀材料。</w:t>
            </w:r>
          </w:p>
          <w:p>
            <w:pPr>
              <w:ind w:firstLine="420"/>
              <w:jc w:val="both"/>
            </w:pPr>
            <w:r>
              <w:rPr>
                <w:sz w:val="21"/>
              </w:rPr>
              <w:t>5</w:t>
            </w:r>
            <w:r>
              <w:rPr>
                <w:sz w:val="21"/>
              </w:rPr>
              <w:t>.2.1.1 机械负载</w:t>
            </w:r>
          </w:p>
          <w:p>
            <w:pPr>
              <w:ind w:firstLine="420"/>
              <w:jc w:val="both"/>
            </w:pPr>
            <w:r>
              <w:rPr>
                <w:sz w:val="21"/>
              </w:rPr>
              <w:t>母线槽应满足</w:t>
            </w:r>
            <w:r>
              <w:rPr>
                <w:sz w:val="21"/>
              </w:rPr>
              <w:t>GB7251.2——2006中７.1.1.1~７.1.1.3的要求。</w:t>
            </w:r>
          </w:p>
          <w:p>
            <w:pPr>
              <w:ind w:firstLine="420"/>
              <w:jc w:val="both"/>
            </w:pPr>
            <w:r>
              <w:rPr>
                <w:sz w:val="21"/>
              </w:rPr>
              <w:t>5</w:t>
            </w:r>
            <w:r>
              <w:rPr>
                <w:sz w:val="21"/>
              </w:rPr>
              <w:t>.2.1.2母线干线单元</w:t>
            </w:r>
          </w:p>
          <w:p>
            <w:pPr>
              <w:ind w:firstLine="420"/>
              <w:jc w:val="both"/>
            </w:pPr>
            <w:r>
              <w:rPr>
                <w:sz w:val="21"/>
              </w:rPr>
              <w:t>母线槽干线单元的结构应将母线用绝缘材料分相包覆（除插接和连接部位）后，紧密的装入外壳中，母线槽可根据要求设置１</w:t>
            </w:r>
            <w:r>
              <w:rPr>
                <w:sz w:val="21"/>
              </w:rPr>
              <w:t>~３个插口。</w:t>
            </w:r>
          </w:p>
          <w:p>
            <w:pPr>
              <w:ind w:firstLine="420"/>
              <w:jc w:val="both"/>
            </w:pPr>
            <w:r>
              <w:rPr>
                <w:sz w:val="21"/>
              </w:rPr>
              <w:t>5</w:t>
            </w:r>
            <w:r>
              <w:rPr>
                <w:sz w:val="21"/>
              </w:rPr>
              <w:t>.2.1.3　母线槽连接</w:t>
            </w:r>
          </w:p>
          <w:p>
            <w:pPr>
              <w:ind w:firstLine="420"/>
              <w:jc w:val="both"/>
            </w:pPr>
            <w:r>
              <w:rPr>
                <w:sz w:val="21"/>
              </w:rPr>
              <w:t>母线槽单元间连接处所用的螺柱、螺帽及垫圈应采用具有足够强度的电镀层的钢制品或铜合金制品。</w:t>
            </w:r>
          </w:p>
          <w:p>
            <w:pPr>
              <w:ind w:firstLine="420"/>
              <w:jc w:val="both"/>
            </w:pPr>
            <w:r>
              <w:rPr>
                <w:sz w:val="21"/>
              </w:rPr>
              <w:t>5</w:t>
            </w:r>
            <w:r>
              <w:rPr>
                <w:sz w:val="21"/>
              </w:rPr>
              <w:t>.2.1.4 插接式馈电箱</w:t>
            </w:r>
          </w:p>
          <w:p>
            <w:pPr>
              <w:ind w:firstLine="420"/>
              <w:jc w:val="both"/>
            </w:pPr>
            <w:r>
              <w:rPr>
                <w:sz w:val="21"/>
              </w:rPr>
              <w:t>5</w:t>
            </w:r>
            <w:r>
              <w:rPr>
                <w:sz w:val="21"/>
              </w:rPr>
              <w:t>.2.1.4.1 插接式馈电箱按用途分类，有以下几种形式：</w:t>
            </w:r>
          </w:p>
          <w:p>
            <w:pPr>
              <w:ind w:firstLine="420"/>
              <w:jc w:val="both"/>
            </w:pPr>
            <w:r>
              <w:rPr>
                <w:sz w:val="21"/>
              </w:rPr>
              <w:t>a) 直接与电缆联接，不安装其它电器元件的馈电箱；</w:t>
            </w:r>
          </w:p>
          <w:p>
            <w:pPr>
              <w:ind w:firstLine="420"/>
              <w:jc w:val="both"/>
            </w:pPr>
            <w:r>
              <w:rPr>
                <w:sz w:val="21"/>
              </w:rPr>
              <w:t>b）内装有断路器的馈电箱；</w:t>
            </w:r>
          </w:p>
          <w:p>
            <w:pPr>
              <w:ind w:firstLine="420"/>
              <w:jc w:val="both"/>
            </w:pPr>
            <w:r>
              <w:rPr>
                <w:sz w:val="21"/>
              </w:rPr>
              <w:t>c) 内装有闸刀开关等的馈电箱 ；</w:t>
            </w:r>
            <w:r>
              <w:rPr>
                <w:sz w:val="21"/>
              </w:rPr>
              <w:t xml:space="preserve">      </w:t>
            </w:r>
          </w:p>
          <w:p>
            <w:pPr>
              <w:ind w:firstLine="420"/>
              <w:jc w:val="both"/>
            </w:pPr>
            <w:r>
              <w:rPr>
                <w:sz w:val="21"/>
              </w:rPr>
              <w:t>d)内部不带开闭元件，只装有熔断器、按钮或其它电器元件的馈电箱。</w:t>
            </w:r>
          </w:p>
          <w:p>
            <w:pPr>
              <w:ind w:firstLine="420"/>
              <w:jc w:val="both"/>
            </w:pPr>
            <w:r>
              <w:rPr>
                <w:sz w:val="21"/>
              </w:rPr>
              <w:t>5</w:t>
            </w:r>
            <w:r>
              <w:rPr>
                <w:sz w:val="21"/>
              </w:rPr>
              <w:t>.2.1.4.2　插接式馈电箱的结构，必须符合以下各项要求：</w:t>
            </w:r>
          </w:p>
          <w:p>
            <w:pPr>
              <w:ind w:firstLine="420"/>
              <w:jc w:val="both"/>
            </w:pPr>
            <w:r>
              <w:rPr>
                <w:sz w:val="21"/>
              </w:rPr>
              <w:t>a)馈电箱的插接头插入带分接装置的母线干线单元时，与母线槽的机械连接应牢靠，电气接触应良好，而且其结构应使其自身易插入和拔出，应保证插５０次后仍能正常工作；</w:t>
            </w:r>
          </w:p>
          <w:p>
            <w:pPr>
              <w:ind w:firstLine="420"/>
              <w:jc w:val="both"/>
            </w:pPr>
            <w:r>
              <w:rPr>
                <w:sz w:val="21"/>
              </w:rPr>
              <w:t>b)馈电箱内的操作机构应灵活、可靠；</w:t>
            </w:r>
          </w:p>
          <w:p>
            <w:pPr>
              <w:ind w:firstLine="420"/>
              <w:jc w:val="both"/>
            </w:pPr>
            <w:r>
              <w:rPr>
                <w:sz w:val="21"/>
              </w:rPr>
              <w:t>c)馈电箱所配用的各种电器元件均应符合其自身的产品标准；</w:t>
            </w:r>
          </w:p>
          <w:p>
            <w:pPr>
              <w:ind w:firstLine="420"/>
              <w:jc w:val="both"/>
            </w:pPr>
            <w:r>
              <w:rPr>
                <w:sz w:val="21"/>
              </w:rPr>
              <w:t>d)馈电箱的构造应保证电缆和电器元件的安装、维修方便；</w:t>
            </w:r>
          </w:p>
          <w:p>
            <w:pPr>
              <w:ind w:firstLine="420"/>
              <w:jc w:val="both"/>
            </w:pPr>
            <w:r>
              <w:rPr>
                <w:sz w:val="21"/>
              </w:rPr>
              <w:t>e)馈电箱内所有零部件的安装均应牢固安全；</w:t>
            </w:r>
          </w:p>
          <w:p>
            <w:pPr>
              <w:ind w:firstLine="420"/>
              <w:jc w:val="both"/>
            </w:pPr>
            <w:r>
              <w:rPr>
                <w:sz w:val="21"/>
              </w:rPr>
              <w:t>f)馈电箱上应有不准带电插拔的装置和警告指示。</w:t>
            </w:r>
          </w:p>
          <w:p>
            <w:pPr>
              <w:ind w:firstLine="420"/>
              <w:jc w:val="both"/>
            </w:pPr>
            <w:r>
              <w:rPr>
                <w:sz w:val="21"/>
              </w:rPr>
              <w:t>5</w:t>
            </w:r>
            <w:r>
              <w:rPr>
                <w:sz w:val="21"/>
              </w:rPr>
              <w:t>.2.</w:t>
            </w:r>
            <w:r>
              <w:rPr>
                <w:sz w:val="21"/>
              </w:rPr>
              <w:t>2　材料</w:t>
            </w:r>
          </w:p>
          <w:p>
            <w:pPr>
              <w:ind w:firstLine="420"/>
              <w:jc w:val="both"/>
            </w:pPr>
            <w:r>
              <w:rPr>
                <w:sz w:val="21"/>
              </w:rPr>
              <w:t>5</w:t>
            </w:r>
            <w:r>
              <w:rPr>
                <w:sz w:val="21"/>
              </w:rPr>
              <w:t>.2.2.</w:t>
            </w:r>
            <w:r>
              <w:rPr>
                <w:sz w:val="21"/>
              </w:rPr>
              <w:t>1　外壳</w:t>
            </w:r>
          </w:p>
          <w:p>
            <w:pPr>
              <w:ind w:firstLine="420"/>
              <w:jc w:val="both"/>
            </w:pPr>
            <w:r>
              <w:rPr>
                <w:sz w:val="21"/>
              </w:rPr>
              <w:t>a)母线槽外壳材料应选用能满足本标准４.4.1.1要求的金属材料，外壳互相连接部件间可采用焊接或螺栓连接，但对用螺栓连接的外壳应保证电连续性，外壳上所用的全部紧固件应有良好的防腐镀层，外壳表面（除用铝或铝合金制的外壳外）应涂上无眩目反光的覆盖层，其颜色应均匀一致，整洁美观，不得有起泡、裂纹或流痕等缺陷。</w:t>
            </w:r>
          </w:p>
          <w:p>
            <w:pPr>
              <w:ind w:firstLine="420"/>
              <w:jc w:val="both"/>
            </w:pPr>
            <w:r>
              <w:rPr>
                <w:sz w:val="21"/>
              </w:rPr>
              <w:t>b)母线整体应具有很高的结构强度，能承受导体的全部重量而不致变形而影响到导体的载流能力；不接受母线本体加穿心螺栓等方式进行结构加强。</w:t>
            </w:r>
          </w:p>
          <w:p>
            <w:pPr>
              <w:ind w:firstLine="420"/>
              <w:jc w:val="both"/>
            </w:pPr>
            <w:r>
              <w:rPr>
                <w:sz w:val="21"/>
              </w:rPr>
              <w:t>c) 外壳材料的要求：当母线无插接箱承重要求时，外壳材料可以为镁铝合金或冷轧镀锌钢板；当母线有插接箱承重要求时，为避免母线长期运行时扭曲变形引起的连接头变形等电气安全隐患，外壳必须采用冷轧镀锌钢板保证较高强度以及母线在火灾等情况下外壳仍有好的承重性能。</w:t>
            </w:r>
          </w:p>
          <w:p>
            <w:pPr>
              <w:ind w:firstLine="420"/>
              <w:jc w:val="both"/>
            </w:pPr>
            <w:r>
              <w:rPr>
                <w:sz w:val="21"/>
              </w:rPr>
              <w:t>d) 南方地区多为潮湿天气，凝露问题比较严重、母线外壳应有良好的防腐蚀效果，产品需提供相应的耐1200 小时盐雾腐蚀检测报告，防止母线因表面长期凝露集聚引起腐蚀、降低防护等级。</w:t>
            </w:r>
          </w:p>
          <w:p>
            <w:pPr>
              <w:ind w:firstLine="420"/>
              <w:jc w:val="both"/>
            </w:pPr>
            <w:r>
              <w:rPr>
                <w:sz w:val="21"/>
              </w:rPr>
              <w:t>5</w:t>
            </w:r>
            <w:r>
              <w:rPr>
                <w:sz w:val="21"/>
              </w:rPr>
              <w:t>.2.2.2 导体</w:t>
            </w:r>
          </w:p>
          <w:p>
            <w:pPr>
              <w:ind w:firstLine="420"/>
              <w:jc w:val="both"/>
            </w:pPr>
            <w:r>
              <w:rPr>
                <w:sz w:val="21"/>
              </w:rPr>
              <w:t>a)导体应采用有足够的机械强度和载流能力的高导电率铜材或者性能相当的导体材料。铜母线导体纯度≥99.95%，导电率≥97% IACS。</w:t>
            </w:r>
          </w:p>
          <w:p>
            <w:pPr>
              <w:ind w:firstLine="420"/>
              <w:jc w:val="both"/>
            </w:pPr>
            <w:r>
              <w:rPr>
                <w:sz w:val="21"/>
              </w:rPr>
              <w:t>b)导体必须采用符合GB 5585.1~5585.3要求的材料。</w:t>
            </w:r>
          </w:p>
          <w:p>
            <w:pPr>
              <w:ind w:firstLine="420"/>
              <w:jc w:val="both"/>
            </w:pPr>
            <w:r>
              <w:rPr>
                <w:sz w:val="21"/>
              </w:rPr>
              <w:t>c) 铜母线导体表面需全长镀银，提高导体抗氧化腐蚀能力，并降低母线回路电阻，同时保证更小的电压降和能耗。</w:t>
            </w:r>
          </w:p>
          <w:p>
            <w:pPr>
              <w:ind w:firstLine="420"/>
              <w:jc w:val="both"/>
            </w:pPr>
            <w:r>
              <w:rPr>
                <w:sz w:val="21"/>
              </w:rPr>
              <w:t>d) 母线所有连接部位均采用镀银处理，以减小接触电阻。</w:t>
            </w:r>
          </w:p>
          <w:p>
            <w:pPr>
              <w:ind w:firstLine="420"/>
              <w:jc w:val="both"/>
            </w:pPr>
            <w:r>
              <w:rPr>
                <w:sz w:val="21"/>
              </w:rPr>
              <w:t>e) 母线直线段导体需确保全段完整，且中间不得有冲孔、末端截面收缩等不良情况，严禁使用搪锡铜材。</w:t>
            </w:r>
          </w:p>
          <w:p>
            <w:pPr>
              <w:ind w:firstLine="420"/>
              <w:jc w:val="both"/>
            </w:pPr>
            <w:r>
              <w:rPr>
                <w:sz w:val="21"/>
              </w:rPr>
              <w:t>f) 软连接应采用编织铜带，并要求使用纯度不低于母线导体的电解铜，同时在铜带表层镀银以减小接触电阻和电压降，减少能耗。</w:t>
            </w:r>
          </w:p>
          <w:p>
            <w:pPr>
              <w:ind w:firstLine="420"/>
              <w:jc w:val="both"/>
            </w:pPr>
            <w:r>
              <w:rPr>
                <w:sz w:val="21"/>
              </w:rPr>
              <w:t>5</w:t>
            </w:r>
            <w:r>
              <w:rPr>
                <w:sz w:val="21"/>
              </w:rPr>
              <w:t>.2.2.3 绝缘材料</w:t>
            </w:r>
          </w:p>
          <w:p>
            <w:pPr>
              <w:ind w:firstLine="420"/>
              <w:jc w:val="both"/>
            </w:pPr>
            <w:r>
              <w:rPr>
                <w:sz w:val="21"/>
              </w:rPr>
              <w:t>a)绝缘材料应具有不低于4.5.1要求的耐热性能，且应具有不低于4.5.5和4.5.6所要求的绝缘性能；绝缘材料的绝缘等级为B 级或以上，且绝缘材料应采用适用于长期工作温度不低于130℃的材料。绝缘材料要求低烟无卤，安全环保，符合VTM2 阻燃标准。提供绝缘材料产地来源证明、货品品牌、名称及产品编号以及第三方权威认证机构认证证书，如采用进口原料则需提供完整的进口报关证明及其他相关资料。</w:t>
            </w:r>
          </w:p>
          <w:p>
            <w:pPr>
              <w:ind w:firstLine="420"/>
              <w:jc w:val="both"/>
            </w:pPr>
            <w:r>
              <w:rPr>
                <w:sz w:val="21"/>
              </w:rPr>
              <w:t>b)用于支撑母线的绝缘零件还应具有足够的机械强度；</w:t>
            </w:r>
          </w:p>
          <w:p>
            <w:pPr>
              <w:ind w:firstLine="420"/>
              <w:jc w:val="both"/>
            </w:pPr>
            <w:r>
              <w:rPr>
                <w:sz w:val="21"/>
              </w:rPr>
              <w:t>c)绝缘材料应选用有足够耐老化能力的材料。</w:t>
            </w:r>
          </w:p>
          <w:p>
            <w:pPr>
              <w:ind w:firstLine="420"/>
              <w:jc w:val="both"/>
            </w:pPr>
            <w:r>
              <w:rPr>
                <w:sz w:val="21"/>
              </w:rPr>
              <w:t>5</w:t>
            </w:r>
            <w:r>
              <w:rPr>
                <w:sz w:val="21"/>
              </w:rPr>
              <w:t>.2.3 外壳导线用端子</w:t>
            </w:r>
          </w:p>
          <w:p>
            <w:pPr>
              <w:ind w:firstLine="420"/>
              <w:jc w:val="both"/>
            </w:pPr>
            <w:r>
              <w:rPr>
                <w:sz w:val="21"/>
              </w:rPr>
              <w:t>母线槽外接导线用端子应符合国家</w:t>
            </w:r>
          </w:p>
          <w:p>
            <w:pPr>
              <w:ind w:firstLine="420"/>
              <w:jc w:val="both"/>
            </w:pPr>
            <w:r>
              <w:rPr>
                <w:sz w:val="21"/>
              </w:rPr>
              <w:t>标准</w:t>
            </w:r>
            <w:r>
              <w:rPr>
                <w:sz w:val="21"/>
              </w:rPr>
              <w:t>GB 7251.1——2005中  7.1.3要求。</w:t>
            </w:r>
          </w:p>
          <w:p>
            <w:pPr>
              <w:ind w:firstLine="420"/>
              <w:jc w:val="both"/>
            </w:pPr>
            <w:r>
              <w:rPr>
                <w:sz w:val="21"/>
              </w:rPr>
              <w:t>5</w:t>
            </w:r>
            <w:r>
              <w:rPr>
                <w:sz w:val="21"/>
              </w:rPr>
              <w:t>.2.4</w:t>
            </w:r>
            <w:r>
              <w:rPr>
                <w:sz w:val="21"/>
              </w:rPr>
              <w:t>电气</w:t>
            </w:r>
            <w:r>
              <w:rPr>
                <w:sz w:val="21"/>
              </w:rPr>
              <w:t>间隙、爬电距离</w:t>
            </w:r>
          </w:p>
          <w:p>
            <w:pPr>
              <w:ind w:firstLine="420"/>
              <w:jc w:val="both"/>
            </w:pPr>
            <w:r>
              <w:rPr>
                <w:sz w:val="21"/>
              </w:rPr>
              <w:t>母线槽内不同极性的裸露带电导体之间以及它们与外壳之间的电气间隙、爬电距离应不小于表</w:t>
            </w:r>
            <w:r>
              <w:rPr>
                <w:sz w:val="21"/>
              </w:rPr>
              <w:t>2的规定。</w:t>
            </w:r>
          </w:p>
          <w:p>
            <w:pPr>
              <w:ind w:firstLine="420"/>
              <w:jc w:val="both"/>
            </w:pPr>
            <w:r>
              <w:rPr>
                <w:sz w:val="21"/>
              </w:rPr>
              <w:t>表</w:t>
            </w:r>
            <w:r>
              <w:rPr>
                <w:sz w:val="21"/>
              </w:rPr>
              <w:t>2  电气间隙、爬电距离</w:t>
            </w:r>
          </w:p>
          <w:tbl>
            <w:tblPr>
              <w:tblBorders>
                <w:top w:val="none" w:color="000000" w:sz="4"/>
                <w:left w:val="none" w:color="000000" w:sz="4"/>
                <w:bottom w:val="none" w:color="000000" w:sz="4"/>
                <w:right w:val="none" w:color="000000" w:sz="4"/>
                <w:insideH w:val="none"/>
                <w:insideV w:val="none"/>
              </w:tblBorders>
            </w:tblPr>
            <w:tblGrid>
              <w:gridCol w:w="1466"/>
              <w:gridCol w:w="773"/>
              <w:gridCol w:w="1120"/>
              <w:gridCol w:w="1120"/>
              <w:gridCol w:w="1120"/>
            </w:tblGrid>
            <w:tr>
              <w:tc>
                <w:tcPr>
                  <w:tcW w:type="dxa" w:w="1466"/>
                  <w:vMerge w:val="restart"/>
                  <w:tcBorders>
                    <w:top w:val="single" w:color="000000" w:sz="4"/>
                    <w:left w:val="single" w:color="000000" w:sz="4"/>
                    <w:bottom w:val="single" w:color="000000" w:sz="4"/>
                    <w:right w:val="single" w:color="000000" w:sz="4"/>
                  </w:tcBorders>
                  <w:vAlign w:val="top"/>
                </w:tcPr>
                <w:p>
                  <w:pPr>
                    <w:jc w:val="center"/>
                  </w:pPr>
                  <w:r>
                    <w:rPr>
                      <w:sz w:val="21"/>
                    </w:rPr>
                    <w:t>额定绝缘电压</w:t>
                  </w:r>
                  <w:r>
                    <w:rPr>
                      <w:sz w:val="21"/>
                    </w:rPr>
                    <w:t>UiV</w:t>
                  </w:r>
                </w:p>
              </w:tc>
              <w:tc>
                <w:tcPr>
                  <w:tcW w:type="dxa" w:w="1893"/>
                  <w:gridSpan w:val="2"/>
                  <w:tcBorders>
                    <w:top w:val="single" w:color="000000" w:sz="4"/>
                    <w:left w:val="single" w:color="000000" w:sz="4"/>
                    <w:bottom w:val="single" w:color="000000" w:sz="4"/>
                    <w:right w:val="single" w:color="000000" w:sz="4"/>
                  </w:tcBorders>
                  <w:vAlign w:val="top"/>
                </w:tcPr>
                <w:p>
                  <w:pPr>
                    <w:jc w:val="center"/>
                  </w:pPr>
                  <w:r>
                    <w:rPr>
                      <w:sz w:val="21"/>
                    </w:rPr>
                    <w:t>电气间隙</w:t>
                  </w:r>
                </w:p>
              </w:tc>
              <w:tc>
                <w:tcPr>
                  <w:tcW w:type="dxa" w:w="2240"/>
                  <w:gridSpan w:val="2"/>
                  <w:tcBorders>
                    <w:top w:val="single" w:color="000000" w:sz="4"/>
                    <w:left w:val="single" w:color="000000" w:sz="4"/>
                    <w:bottom w:val="single" w:color="000000" w:sz="4"/>
                    <w:right w:val="single" w:color="000000" w:sz="4"/>
                  </w:tcBorders>
                  <w:vAlign w:val="top"/>
                </w:tcPr>
                <w:p>
                  <w:pPr>
                    <w:jc w:val="center"/>
                  </w:pPr>
                  <w:r>
                    <w:rPr>
                      <w:sz w:val="21"/>
                    </w:rPr>
                    <w:t>爬电距离</w:t>
                  </w:r>
                </w:p>
              </w:tc>
            </w:tr>
            <w:tr>
              <w:tc>
                <w:tcPr>
                  <w:tcW w:type="dxa" w:w="1466"/>
                  <w:vMerge/>
                  <w:tcBorders>
                    <w:top w:val="single" w:color="000000" w:sz="4"/>
                    <w:left w:val="single" w:color="000000" w:sz="4"/>
                    <w:bottom w:val="single" w:color="000000" w:sz="4"/>
                    <w:right w:val="single" w:color="000000" w:sz="4"/>
                  </w:tcBorders>
                </w:tcPr>
                <w:p/>
              </w:tc>
              <w:tc>
                <w:tcPr>
                  <w:tcW w:type="dxa" w:w="773"/>
                  <w:tcBorders>
                    <w:top w:val="none" w:color="000000" w:sz="4"/>
                    <w:left w:val="single" w:color="000000" w:sz="4"/>
                    <w:bottom w:val="single" w:color="000000" w:sz="4"/>
                    <w:right w:val="single" w:color="000000" w:sz="4"/>
                  </w:tcBorders>
                  <w:vAlign w:val="top"/>
                </w:tcPr>
                <w:p>
                  <w:pPr>
                    <w:jc w:val="center"/>
                  </w:pPr>
                  <w:r>
                    <w:rPr>
                      <w:sz w:val="21"/>
                    </w:rPr>
                    <w:t>≦63A</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&gt;63A</w:t>
                  </w:r>
                </w:p>
              </w:tc>
              <w:tc>
                <w:tcPr>
                  <w:tcW w:type="dxa" w:w="1120"/>
                  <w:tcBorders>
                    <w:top w:val="single" w:color="000000" w:sz="4"/>
                    <w:left w:val="single" w:color="000000" w:sz="4"/>
                    <w:bottom w:val="single" w:color="000000" w:sz="4"/>
                    <w:right w:val="single" w:color="000000" w:sz="4"/>
                  </w:tcBorders>
                  <w:vAlign w:val="top"/>
                </w:tcPr>
                <w:p>
                  <w:pPr>
                    <w:jc w:val="center"/>
                  </w:pPr>
                  <w:r>
                    <w:rPr>
                      <w:sz w:val="21"/>
                    </w:rPr>
                    <w:t>≦63A</w:t>
                  </w:r>
                </w:p>
              </w:tc>
              <w:tc>
                <w:tcPr>
                  <w:tcW w:type="dxa" w:w="1120"/>
                  <w:tcBorders>
                    <w:top w:val="single" w:color="000000" w:sz="4"/>
                    <w:left w:val="single" w:color="000000" w:sz="4"/>
                    <w:bottom w:val="single" w:color="000000" w:sz="4"/>
                    <w:right w:val="single" w:color="000000" w:sz="4"/>
                  </w:tcBorders>
                  <w:vAlign w:val="top"/>
                </w:tcPr>
                <w:p>
                  <w:pPr>
                    <w:jc w:val="center"/>
                  </w:pPr>
                  <w:r>
                    <w:rPr>
                      <w:sz w:val="21"/>
                    </w:rPr>
                    <w:t>&gt;63A</w:t>
                  </w:r>
                </w:p>
              </w:tc>
            </w:tr>
            <w:tr>
              <w:tc>
                <w:tcPr>
                  <w:tcW w:type="dxa" w:w="1466"/>
                  <w:tcBorders>
                    <w:top w:val="none" w:color="000000" w:sz="4"/>
                    <w:left w:val="single" w:color="000000" w:sz="4"/>
                    <w:bottom w:val="single" w:color="000000" w:sz="4"/>
                    <w:right w:val="single" w:color="000000" w:sz="4"/>
                  </w:tcBorders>
                  <w:vAlign w:val="top"/>
                </w:tcPr>
                <w:p>
                  <w:pPr>
                    <w:jc w:val="center"/>
                  </w:pPr>
                  <w:r>
                    <w:rPr>
                      <w:sz w:val="21"/>
                    </w:rPr>
                    <w:t>Ui≦60</w:t>
                  </w:r>
                </w:p>
              </w:tc>
              <w:tc>
                <w:tcPr>
                  <w:tcW w:type="dxa" w:w="7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1466"/>
                  <w:tcBorders>
                    <w:top w:val="none" w:color="000000" w:sz="4"/>
                    <w:left w:val="single" w:color="000000" w:sz="4"/>
                    <w:bottom w:val="single" w:color="000000" w:sz="4"/>
                    <w:right w:val="single" w:color="000000" w:sz="4"/>
                  </w:tcBorders>
                  <w:vAlign w:val="top"/>
                </w:tcPr>
                <w:p>
                  <w:pPr>
                    <w:jc w:val="center"/>
                  </w:pPr>
                  <w:r>
                    <w:rPr>
                      <w:sz w:val="21"/>
                    </w:rPr>
                    <w:t>60＜Ui≦300</w:t>
                  </w:r>
                </w:p>
              </w:tc>
              <w:tc>
                <w:tcPr>
                  <w:tcW w:type="dxa" w:w="77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1466"/>
                  <w:tcBorders>
                    <w:top w:val="none" w:color="000000" w:sz="4"/>
                    <w:left w:val="single" w:color="000000" w:sz="4"/>
                    <w:bottom w:val="single" w:color="000000" w:sz="4"/>
                    <w:right w:val="single" w:color="000000" w:sz="4"/>
                  </w:tcBorders>
                  <w:vAlign w:val="top"/>
                </w:tcPr>
                <w:p>
                  <w:pPr>
                    <w:jc w:val="center"/>
                  </w:pPr>
                  <w:r>
                    <w:rPr>
                      <w:sz w:val="21"/>
                    </w:rPr>
                    <w:t>300＜Ui≦690</w:t>
                  </w:r>
                </w:p>
              </w:tc>
              <w:tc>
                <w:tcPr>
                  <w:tcW w:type="dxa" w:w="77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12</w:t>
                  </w:r>
                </w:p>
              </w:tc>
            </w:tr>
          </w:tbl>
          <w:p>
            <w:pPr>
              <w:ind w:firstLine="420"/>
              <w:jc w:val="both"/>
            </w:pPr>
            <w:r>
              <w:rPr>
                <w:sz w:val="21"/>
              </w:rPr>
              <w:t>5</w:t>
            </w:r>
            <w:r>
              <w:rPr>
                <w:sz w:val="21"/>
              </w:rPr>
              <w:t>.2.5</w:t>
            </w:r>
            <w:r>
              <w:rPr>
                <w:sz w:val="21"/>
              </w:rPr>
              <w:t>外壳</w:t>
            </w:r>
            <w:r>
              <w:rPr>
                <w:sz w:val="21"/>
              </w:rPr>
              <w:t>防护等级</w:t>
            </w:r>
          </w:p>
          <w:p>
            <w:pPr>
              <w:ind w:firstLine="420"/>
              <w:jc w:val="both"/>
            </w:pPr>
            <w:r>
              <w:rPr>
                <w:sz w:val="21"/>
              </w:rPr>
              <w:t>母线槽外壳防护等级符合</w:t>
            </w:r>
            <w:r>
              <w:rPr>
                <w:sz w:val="21"/>
              </w:rPr>
              <w:t>GB4208规定的要求，安装完毕后，母线整体当应用于配电房时防护等级应在IP40 以上；当应用于建筑物楼层配电或有喷淋场合的厂房时，防护等级应在IP54 以上；当应用于室内潮湿场所或有防喷水要求的场所，防护等级应在IP65 及以上等级。</w:t>
            </w:r>
          </w:p>
          <w:p>
            <w:pPr>
              <w:ind w:firstLine="420"/>
              <w:jc w:val="both"/>
            </w:pPr>
            <w:r>
              <w:rPr>
                <w:sz w:val="21"/>
              </w:rPr>
              <w:t>5</w:t>
            </w:r>
            <w:r>
              <w:rPr>
                <w:sz w:val="21"/>
              </w:rPr>
              <w:t>.2.6 连接头要求</w:t>
            </w:r>
          </w:p>
          <w:p>
            <w:pPr>
              <w:ind w:firstLine="420"/>
              <w:jc w:val="both"/>
            </w:pPr>
            <w:r>
              <w:rPr>
                <w:sz w:val="21"/>
              </w:rPr>
              <w:t>母线连接头要求为独立可移动式，便于母线的安装及拆卸。</w:t>
            </w:r>
          </w:p>
          <w:p>
            <w:pPr>
              <w:ind w:firstLine="420"/>
              <w:jc w:val="both"/>
            </w:pPr>
            <w:r>
              <w:rPr>
                <w:sz w:val="21"/>
              </w:rPr>
              <w:t>母线接头须为穿过螺栓型，其固紧程度之检查可不必将系统停电。螺栓接头须能对全部接触区施以正压。连接头螺栓应保证可靠的搭接力矩，应带有自动力矩控制功能，平均额定压紧力矩</w:t>
            </w:r>
            <w:r>
              <w:rPr>
                <w:sz w:val="21"/>
              </w:rPr>
              <w:t>≥50N.M，以保证连接头有良好的接触。</w:t>
            </w:r>
          </w:p>
          <w:p>
            <w:pPr>
              <w:ind w:firstLine="420"/>
              <w:jc w:val="both"/>
            </w:pPr>
            <w:r>
              <w:rPr>
                <w:sz w:val="21"/>
              </w:rPr>
              <w:t>母线接头的设计须满足由于热膨胀而引起母线槽的线性伸缩，而不降低母线的机械强度，电气的连续性，载流容量及短路容量。</w:t>
            </w:r>
          </w:p>
          <w:p>
            <w:pPr>
              <w:ind w:firstLine="420"/>
              <w:jc w:val="both"/>
            </w:pPr>
            <w:r>
              <w:rPr>
                <w:sz w:val="21"/>
              </w:rPr>
              <w:t>母线的连接头导体搭接处均采用银</w:t>
            </w:r>
            <w:r>
              <w:rPr>
                <w:sz w:val="21"/>
              </w:rPr>
              <w:t>-银搭接。</w:t>
            </w:r>
          </w:p>
          <w:p>
            <w:pPr>
              <w:ind w:firstLine="420"/>
              <w:jc w:val="both"/>
            </w:pPr>
            <w:r>
              <w:rPr>
                <w:sz w:val="21"/>
              </w:rPr>
              <w:t>为适应母线运行时的膨胀伸缩和部分地区的抗震要求，母线连接处外盖板采用螺栓固定，不应使用铆接方式连接。</w:t>
            </w:r>
          </w:p>
          <w:p>
            <w:pPr>
              <w:ind w:firstLine="420"/>
              <w:jc w:val="both"/>
            </w:pPr>
            <w:r>
              <w:rPr>
                <w:sz w:val="21"/>
              </w:rPr>
              <w:t>5</w:t>
            </w:r>
            <w:r>
              <w:rPr>
                <w:sz w:val="21"/>
              </w:rPr>
              <w:t>.2.7 插接箱要求</w:t>
            </w:r>
          </w:p>
          <w:p>
            <w:pPr>
              <w:ind w:firstLine="420"/>
              <w:jc w:val="both"/>
            </w:pPr>
            <w:r>
              <w:rPr>
                <w:sz w:val="21"/>
              </w:rPr>
              <w:t>防护等级要求：为避免使用过程中的溅水、淋水和凝露等隐患引起的突发故障，插接箱的防护等级应为</w:t>
            </w:r>
            <w:r>
              <w:rPr>
                <w:sz w:val="21"/>
              </w:rPr>
              <w:t>IP54，并需出具权威安全检测部门（提供具体部门机构）的试验报告。</w:t>
            </w:r>
          </w:p>
          <w:p>
            <w:pPr>
              <w:ind w:firstLine="420"/>
              <w:jc w:val="both"/>
            </w:pPr>
            <w:r>
              <w:rPr>
                <w:sz w:val="21"/>
              </w:rPr>
              <w:t>插接箱电气连接部位要求</w:t>
            </w:r>
          </w:p>
          <w:p>
            <w:pPr>
              <w:ind w:firstLine="420"/>
              <w:jc w:val="both"/>
            </w:pPr>
            <w:r>
              <w:rPr>
                <w:sz w:val="21"/>
              </w:rPr>
              <w:t>（</w:t>
            </w:r>
            <w:r>
              <w:rPr>
                <w:sz w:val="21"/>
              </w:rPr>
              <w:t>1）插接箱插接爪与母线本体导体的连接，应尽量采用可靠的接触方式，以保证连接安全。</w:t>
            </w:r>
          </w:p>
          <w:p>
            <w:pPr>
              <w:ind w:firstLine="420"/>
              <w:jc w:val="both"/>
            </w:pPr>
            <w:r>
              <w:rPr>
                <w:sz w:val="21"/>
              </w:rPr>
              <w:t>（</w:t>
            </w:r>
            <w:r>
              <w:rPr>
                <w:sz w:val="21"/>
              </w:rPr>
              <w:t>2）插接箱插接爪与母线连接处应采用银-银接触，保证较低的接触电阻，减少插接部位发热量，保证高可靠性。</w:t>
            </w:r>
          </w:p>
          <w:p>
            <w:pPr>
              <w:ind w:firstLine="420"/>
              <w:jc w:val="both"/>
            </w:pPr>
            <w:r>
              <w:rPr>
                <w:sz w:val="21"/>
              </w:rPr>
              <w:t>（</w:t>
            </w:r>
            <w:r>
              <w:rPr>
                <w:sz w:val="21"/>
              </w:rPr>
              <w:t>3）插接爪应配有弹性钢片以增加插接爪弹性，以保证在环境温度和压力变化的情况下仍能可靠连接；并保证在插接多次的情况下仍旧保持良好的弹性。</w:t>
            </w:r>
          </w:p>
          <w:p>
            <w:pPr>
              <w:ind w:firstLine="420"/>
              <w:jc w:val="both"/>
            </w:pPr>
            <w:r>
              <w:rPr>
                <w:sz w:val="21"/>
              </w:rPr>
              <w:t>（</w:t>
            </w:r>
            <w:r>
              <w:rPr>
                <w:sz w:val="21"/>
              </w:rPr>
              <w:t>4）插接箱安装后，所有的受力应由母线槽外壳承受，而不由插接爪受力。</w:t>
            </w:r>
          </w:p>
          <w:p>
            <w:pPr>
              <w:ind w:firstLine="420"/>
              <w:jc w:val="both"/>
            </w:pPr>
            <w:r>
              <w:rPr>
                <w:sz w:val="21"/>
              </w:rPr>
              <w:t>插接箱安全性能要求</w:t>
            </w:r>
          </w:p>
          <w:p>
            <w:pPr>
              <w:ind w:firstLine="420"/>
              <w:jc w:val="both"/>
            </w:pPr>
            <w:r>
              <w:rPr>
                <w:sz w:val="21"/>
              </w:rPr>
              <w:t>（</w:t>
            </w:r>
            <w:r>
              <w:rPr>
                <w:sz w:val="21"/>
              </w:rPr>
              <w:t>1）具有多重机械连锁保护：</w:t>
            </w:r>
          </w:p>
          <w:p>
            <w:pPr>
              <w:ind w:firstLine="420"/>
              <w:jc w:val="both"/>
            </w:pPr>
            <w:r>
              <w:rPr>
                <w:sz w:val="21"/>
              </w:rPr>
              <w:t>a.通电情况下，插接箱门不能被打开且插接箱不能从母线上取下；</w:t>
            </w:r>
          </w:p>
          <w:p>
            <w:pPr>
              <w:ind w:firstLine="420"/>
              <w:jc w:val="both"/>
            </w:pPr>
            <w:r>
              <w:rPr>
                <w:sz w:val="21"/>
              </w:rPr>
              <w:t>b.插接箱未可靠安装固定在母线槽上时，开关不能合闸；</w:t>
            </w:r>
          </w:p>
          <w:p>
            <w:pPr>
              <w:ind w:firstLine="420"/>
              <w:jc w:val="both"/>
            </w:pPr>
            <w:r>
              <w:rPr>
                <w:sz w:val="21"/>
              </w:rPr>
              <w:t>c.插接箱门打开时，开关不能合闸。</w:t>
            </w:r>
          </w:p>
          <w:p>
            <w:pPr>
              <w:ind w:firstLine="420"/>
              <w:jc w:val="both"/>
            </w:pPr>
            <w:r>
              <w:rPr>
                <w:sz w:val="21"/>
              </w:rPr>
              <w:t>d.插接箱外应有明显的断开、闭合装置。</w:t>
            </w:r>
          </w:p>
          <w:p>
            <w:pPr>
              <w:ind w:firstLine="420"/>
              <w:jc w:val="both"/>
            </w:pPr>
            <w:r>
              <w:rPr>
                <w:sz w:val="21"/>
              </w:rPr>
              <w:t>（</w:t>
            </w:r>
            <w:r>
              <w:rPr>
                <w:sz w:val="21"/>
              </w:rPr>
              <w:t>2）插接箱内部应设绝缘隔板，所有带电部位必须被隔离，以保证人身安全。</w:t>
            </w:r>
          </w:p>
          <w:p>
            <w:pPr>
              <w:ind w:firstLine="420"/>
              <w:jc w:val="both"/>
            </w:pPr>
            <w:r>
              <w:rPr>
                <w:sz w:val="21"/>
              </w:rPr>
              <w:t>（</w:t>
            </w:r>
            <w:r>
              <w:rPr>
                <w:sz w:val="21"/>
              </w:rPr>
              <w:t>3）插接箱安装时，其地线先于相线与系统地线接通，拆卸时地线最后断开。</w:t>
            </w:r>
          </w:p>
          <w:p>
            <w:pPr>
              <w:ind w:firstLine="420"/>
              <w:jc w:val="both"/>
            </w:pPr>
            <w:r>
              <w:rPr>
                <w:sz w:val="21"/>
              </w:rPr>
              <w:t>（</w:t>
            </w:r>
            <w:r>
              <w:rPr>
                <w:sz w:val="21"/>
              </w:rPr>
              <w:t>4）插接箱内部塑壳开关宜使用优质品牌断路器，要求断路器Ics=100%Icu。</w:t>
            </w:r>
          </w:p>
          <w:p>
            <w:pPr>
              <w:ind w:firstLine="420"/>
              <w:jc w:val="both"/>
            </w:pPr>
            <w:r>
              <w:rPr>
                <w:sz w:val="21"/>
              </w:rPr>
              <w:t>5</w:t>
            </w:r>
            <w:r>
              <w:rPr>
                <w:sz w:val="21"/>
              </w:rPr>
              <w:t>.2.8 接地系统要求</w:t>
            </w:r>
          </w:p>
          <w:p>
            <w:pPr>
              <w:ind w:firstLine="420"/>
              <w:jc w:val="both"/>
            </w:pPr>
            <w:r>
              <w:rPr>
                <w:sz w:val="21"/>
              </w:rPr>
              <w:t>母线如采用</w:t>
            </w:r>
            <w:r>
              <w:rPr>
                <w:sz w:val="21"/>
              </w:rPr>
              <w:t>3L+N+PE系统，则中性线与相线应等截面，PE线等效截面积不小于50%的相线，不接受产品的承重性外壳做地线。</w:t>
            </w:r>
          </w:p>
          <w:p>
            <w:pPr>
              <w:ind w:firstLine="420"/>
              <w:jc w:val="both"/>
            </w:pPr>
            <w:r>
              <w:rPr>
                <w:sz w:val="21"/>
              </w:rPr>
              <w:t>地线应满足</w:t>
            </w:r>
            <w:r>
              <w:rPr>
                <w:sz w:val="21"/>
              </w:rPr>
              <w:t>IEC60439和GB7251中关于接地容量、接地电阻、接地连续性以及接触可靠性方面的要求。</w:t>
            </w:r>
          </w:p>
          <w:p>
            <w:pPr>
              <w:ind w:firstLine="420"/>
              <w:jc w:val="both"/>
            </w:pPr>
            <w:r>
              <w:rPr>
                <w:sz w:val="21"/>
              </w:rPr>
              <w:t>母线连接头处必须保证地线的连续性，不接受附加的跨接地线做接头处地线的连接，也不能有其他绝缘物质破坏地线的连续性。</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1.采购代理机构：本项目是指广东省机电设备招标有限公司，负责整个采购活动的组织，依法负责编制和发布磋商文件，对磋商文件拥有最终的解释权，不以任何身份出任磋商小组成员。</w:t>
      </w:r>
    </w:p>
    <w:p>
      <w:pPr>
        <w:ind w:firstLine="480"/>
      </w:pPr>
      <w:r>
        <w:rPr/>
        <w:t>2.采购人：本项目是指</w:t>
      </w:r>
      <w:r>
        <w:rPr/>
        <w:t>广州中医药大学第三附属医院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采购包1：保证金人民币：20,000.00元整。</w:t>
            </w:r>
          </w:p>
          <w:p>
            <w:r>
              <w:rPr/>
              <w:t>开户单位：</w:t>
            </w:r>
            <w:r>
              <w:rPr/>
              <w:t>广东省机电设备招标有限公司</w:t>
            </w:r>
          </w:p>
          <w:p>
            <w:r>
              <w:rPr/>
              <w:t>开户账号：</w:t>
            </w:r>
            <w:r>
              <w:rPr/>
              <w:t>3602000129201837566</w:t>
            </w:r>
          </w:p>
          <w:p>
            <w:r>
              <w:rPr/>
              <w:t>开户银行：</w:t>
            </w:r>
            <w:r>
              <w:rPr/>
              <w:t>中国工商银行股份有限公司广州第一支行</w:t>
            </w:r>
          </w:p>
          <w:p>
            <w:r>
              <w:rPr/>
              <w:t>支票提交方式：</w:t>
            </w:r>
            <w:r>
              <w:rPr/>
              <w:t>线下提交</w:t>
            </w:r>
          </w:p>
          <w:p>
            <w:r>
              <w:rPr/>
              <w:t>汇票、本票提交方式：</w:t>
            </w:r>
            <w:r>
              <w:rPr/>
              <w:t>线下提交</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发展计划委员会[2002]1980号文《招标代理服务收费标准管理暂行办法》及国家发改委[2011]534号文件的工程招标代理服务收费标准，以中标金额作为收费的计算依据，下浮20%执行</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广东省机电设备招标有限公司</w:t>
      </w:r>
      <w:r>
        <w:rPr/>
        <w:t>代收。具体操作要求详见</w:t>
      </w:r>
      <w:r>
        <w:rPr/>
        <w:t>广东省机电设备招标有限公司</w:t>
      </w:r>
      <w:r>
        <w:rPr/>
        <w:t>有关指引，递交事宜请自行咨询</w:t>
      </w:r>
      <w:r>
        <w:rPr/>
        <w:t>广东省机电设备招标有限公司</w:t>
      </w:r>
      <w:r>
        <w:rPr/>
        <w:t>；请各供应商在响应文件递交截止时间前按须知前附表规定的金额递交至</w:t>
      </w:r>
      <w:r>
        <w:rPr/>
        <w:t>广东省机电设备招标有限公司</w:t>
      </w:r>
      <w:r>
        <w:rPr/>
        <w:t>，到账情况以开启时</w:t>
      </w:r>
      <w:r>
        <w:rPr/>
        <w:t>广东省机电设备招标有限公司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https://www.gzebid.cn/#/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https://www.gzebid.cn/#/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蒋小姐/李先生</w:t>
      </w:r>
    </w:p>
    <w:p>
      <w:pPr>
        <w:ind w:firstLine="480"/>
      </w:pPr>
      <w:r>
        <w:rPr/>
        <w:t>电话：</w:t>
      </w:r>
      <w:r>
        <w:rPr/>
        <w:t>020-83549690</w:t>
      </w:r>
    </w:p>
    <w:p>
      <w:pPr>
        <w:ind w:firstLine="480"/>
      </w:pPr>
      <w:r>
        <w:rPr/>
        <w:t>传真：</w:t>
      </w:r>
      <w:r>
        <w:rPr/>
        <w:t>020-83549690</w:t>
      </w:r>
    </w:p>
    <w:p>
      <w:pPr>
        <w:ind w:firstLine="480"/>
      </w:pPr>
      <w:r>
        <w:rPr/>
        <w:t>邮箱：</w:t>
      </w:r>
      <w:r>
        <w:rPr/>
        <w:t>pj3gdgj@163.com</w:t>
      </w:r>
    </w:p>
    <w:p>
      <w:pPr>
        <w:ind w:firstLine="480"/>
      </w:pPr>
      <w:r>
        <w:rPr/>
        <w:t>地址：</w:t>
      </w:r>
      <w:r>
        <w:rPr/>
        <w:t>广东省广州市越秀区环市中路316号金鹰大厦2507</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采购包1(电力增容工程)：综合评分法,是指响应文件满足磋商文件全部实质性要求，且按照评审因素的量化指标评审得分最高的投标人为成交候选人的评标方法。（最低报价不是成交的唯一依据。）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广东省机电设备招标有限公司</w:t>
      </w:r>
      <w:r>
        <w:rPr/>
        <w:t>统一对外发布。</w:t>
      </w:r>
    </w:p>
    <w:p>
      <w:pPr>
        <w:ind w:firstLine="480"/>
      </w:pPr>
      <w:r>
        <w:rPr/>
        <w:t>（2）对</w:t>
      </w:r>
      <w:r>
        <w:rPr/>
        <w:t>广东省机电设备招标有限公司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采购包1（电力增容工程）：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采购包1（电力增容工程）：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供应商必须是具有独立承担民事责任能力的在中华人民共和国境内注册的法人或其他组织，提交有效的营业执照（或事业法人登记证或身份证等相关证明）副本复印件。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依据《响应承诺函》。</w:t>
            </w:r>
          </w:p>
        </w:tc>
      </w:tr>
      <w:tr>
        <w:tc>
          <w:tcPr>
            <w:tcW w:type="dxa" w:w="890"/>
          </w:tcPr>
          <w:p>
            <w:r>
              <w:rPr/>
              <w:t>3</w:t>
            </w:r>
          </w:p>
        </w:tc>
        <w:tc>
          <w:tcPr>
            <w:tcW w:type="dxa" w:w="3178"/>
          </w:tcPr>
          <w:p>
            <w:r>
              <w:rPr/>
              <w:t>具有良好的商业信誉和健全的财务会计制度</w:t>
            </w:r>
          </w:p>
        </w:tc>
        <w:tc>
          <w:tcPr>
            <w:tcW w:type="dxa" w:w="4238"/>
          </w:tcPr>
          <w:p>
            <w:r>
              <w:rPr/>
              <w:t>依据《响应承诺函》。</w:t>
            </w:r>
          </w:p>
        </w:tc>
      </w:tr>
      <w:tr>
        <w:tc>
          <w:tcPr>
            <w:tcW w:type="dxa" w:w="890"/>
          </w:tcPr>
          <w:p>
            <w:r>
              <w:rPr/>
              <w:t>4</w:t>
            </w:r>
          </w:p>
        </w:tc>
        <w:tc>
          <w:tcPr>
            <w:tcW w:type="dxa" w:w="3178"/>
          </w:tcPr>
          <w:p>
            <w:r>
              <w:rPr/>
              <w:t>履行合同所必需的设备和专业技术能力</w:t>
            </w:r>
          </w:p>
        </w:tc>
        <w:tc>
          <w:tcPr>
            <w:tcW w:type="dxa" w:w="4238"/>
          </w:tcPr>
          <w:p>
            <w:r>
              <w:rPr/>
              <w:t>依据《响应承诺函》。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提供书面声明函，格式自拟）</w:t>
            </w:r>
          </w:p>
        </w:tc>
      </w:tr>
      <w:tr>
        <w:tc>
          <w:tcPr>
            <w:tcW w:type="dxa" w:w="890"/>
          </w:tcPr>
          <w:p>
            <w:r>
              <w:rPr/>
              <w:t>6</w:t>
            </w:r>
          </w:p>
        </w:tc>
        <w:tc>
          <w:tcPr>
            <w:tcW w:type="dxa" w:w="3178"/>
          </w:tcPr>
          <w:p>
            <w:r>
              <w:rPr/>
              <w:t>供应商特定资格要求</w:t>
            </w:r>
          </w:p>
        </w:tc>
        <w:tc>
          <w:tcPr>
            <w:tcW w:type="dxa" w:w="4238"/>
          </w:tcPr>
          <w:p>
            <w:r>
              <w:rPr/>
              <w:t>1）供应商应具有承接本工程所需的电力工程施工总承包三级或以上，或输变电工程（送变电工程）专业承包三级或以上，或建筑机电安装工程专业承包二级或以上资质，和《承装(修、试)电力设施许可证》承装类五级或以上资质，并取得安全生产许可证且在有效期内。（需提供资质证书、安全生产许可证复印件） 2）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 3）响应供应商拟担任本工程项目负责人的人员, 响应文件提供以下证书复印件： ①　机电工程专业二级或以上级别的注册建造师资质。 ②　项目负责人提供安全培训考核合格证（B类）或建筑施工企业管理人员安全生产考核信息系统安全生产管理人员证书信息的网页截图。 ③　项目负责人在任职期间不得担任专职安全员，项目专职安全员在任职期间也不得担任项目负责人，项目负责人和专职安全员不为同一人。报价响应文件提供承诺函（格式自定） 4)专职安全员须具有安全生产考核合格证（C类）或建筑施工企业管理人员安全生产考核合格证书。 5）单位负责人为同一人或者存在直接控股、 管理关系的不同供应商，不得同时参加本采购项目（或采购包）磋商。依据《响应承诺函》。 6）为本项目提供整体设计、规范编制或者项目管理、监理、检测等服务的供应商，不得再参与本项目磋商。依据《响应承诺函》。 7)本项目不接受联合体磋商。 8)供应商不得将本项目转包。</w:t>
            </w:r>
          </w:p>
        </w:tc>
      </w:tr>
      <w:tr>
        <w:tc>
          <w:tcPr>
            <w:tcW w:type="dxa" w:w="890"/>
          </w:tcPr>
          <w:p>
            <w:r>
              <w:rPr/>
              <w:t>7</w:t>
            </w:r>
          </w:p>
        </w:tc>
        <w:tc>
          <w:tcPr>
            <w:tcW w:type="dxa" w:w="3178"/>
          </w:tcPr>
          <w:p>
            <w:r>
              <w:rPr/>
              <w:t>本采购包专门面向中小企业采购</w:t>
            </w:r>
          </w:p>
        </w:tc>
        <w:tc>
          <w:tcPr>
            <w:tcW w:type="dxa" w:w="4238"/>
          </w:tcPr>
          <w:p>
            <w:r>
              <w:rPr/>
              <w:t>供应商须为符合本项目采购标的对应行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计定。中小企业划分标准所属行业为：工业。</w:t>
            </w:r>
          </w:p>
        </w:tc>
      </w:tr>
    </w:tbl>
    <w:p/>
    <w:p>
      <w:pPr>
        <w:ind w:firstLine="480"/>
      </w:pPr>
      <w:r>
        <w:rPr/>
        <w:t>表二符合性审查表：</w:t>
      </w:r>
    </w:p>
    <w:p>
      <w:pPr>
        <w:ind w:firstLine="480"/>
      </w:pPr>
    </w:p>
    <w:p/>
    <w:p>
      <w:r>
        <w:rPr/>
        <w:t>采购包1（电力增容工程）：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响应承诺函、投标保证金及投标有效期</w:t>
            </w:r>
          </w:p>
        </w:tc>
        <w:tc>
          <w:tcPr>
            <w:tcW w:type="dxa" w:w="4238"/>
          </w:tcPr>
          <w:p>
            <w:r>
              <w:rPr/>
              <w:t>响应承诺函、投标保证金及投标有效期符合要求。</w:t>
            </w:r>
          </w:p>
        </w:tc>
      </w:tr>
      <w:tr>
        <w:tc>
          <w:tcPr>
            <w:tcW w:type="dxa" w:w="890"/>
          </w:tcPr>
          <w:p>
            <w:r>
              <w:rPr/>
              <w:t>2</w:t>
            </w:r>
          </w:p>
        </w:tc>
        <w:tc>
          <w:tcPr>
            <w:tcW w:type="dxa" w:w="3178"/>
          </w:tcPr>
          <w:p>
            <w:r>
              <w:rPr/>
              <w:t>响应文件</w:t>
            </w:r>
          </w:p>
        </w:tc>
        <w:tc>
          <w:tcPr>
            <w:tcW w:type="dxa" w:w="4238"/>
          </w:tcPr>
          <w:p>
            <w:r>
              <w:rPr/>
              <w:t>响应文件完整，响应内容基本完整，无重大错漏，并按要求签署、盖章。 法定代表人/负责人资格证明书及授权委托书，按对应格式文件签署、盖章。</w:t>
            </w:r>
          </w:p>
        </w:tc>
      </w:tr>
      <w:tr>
        <w:tc>
          <w:tcPr>
            <w:tcW w:type="dxa" w:w="890"/>
          </w:tcPr>
          <w:p>
            <w:r>
              <w:rPr/>
              <w:t>3</w:t>
            </w:r>
          </w:p>
        </w:tc>
        <w:tc>
          <w:tcPr>
            <w:tcW w:type="dxa" w:w="3178"/>
          </w:tcPr>
          <w:p>
            <w:r>
              <w:rPr/>
              <w:t>实质性条款</w:t>
            </w:r>
          </w:p>
        </w:tc>
        <w:tc>
          <w:tcPr>
            <w:tcW w:type="dxa" w:w="4238"/>
          </w:tcPr>
          <w:p>
            <w:r>
              <w:rPr/>
              <w:t>响应文件实质性响应磋商文件要求（★号条款）</w:t>
            </w:r>
          </w:p>
        </w:tc>
      </w:tr>
      <w:tr>
        <w:tc>
          <w:tcPr>
            <w:tcW w:type="dxa" w:w="890"/>
          </w:tcPr>
          <w:p>
            <w:r>
              <w:rPr/>
              <w:t>4</w:t>
            </w:r>
          </w:p>
        </w:tc>
        <w:tc>
          <w:tcPr>
            <w:tcW w:type="dxa" w:w="3178"/>
          </w:tcPr>
          <w:p>
            <w:r>
              <w:rPr/>
              <w:t>投标报价</w:t>
            </w:r>
          </w:p>
        </w:tc>
        <w:tc>
          <w:tcPr>
            <w:tcW w:type="dxa" w:w="4238"/>
          </w:tcPr>
          <w:p>
            <w:r>
              <w:rPr/>
              <w:t>按磋商文件要求报价，且投标报价没有超出采购预算，关键、主要内容无漏项。</w:t>
            </w:r>
          </w:p>
        </w:tc>
      </w:tr>
      <w:tr>
        <w:tc>
          <w:tcPr>
            <w:tcW w:type="dxa" w:w="890"/>
          </w:tcPr>
          <w:p>
            <w:r>
              <w:rPr/>
              <w:t>5</w:t>
            </w:r>
          </w:p>
        </w:tc>
        <w:tc>
          <w:tcPr>
            <w:tcW w:type="dxa" w:w="3178"/>
          </w:tcPr>
          <w:p>
            <w:r>
              <w:rPr/>
              <w:t>投标报价合理性</w:t>
            </w:r>
          </w:p>
        </w:tc>
        <w:tc>
          <w:tcPr>
            <w:tcW w:type="dxa" w:w="4238"/>
          </w:tcPr>
          <w:p>
            <w:r>
              <w:rPr/>
              <w:t>投标报价没有明显低于其他通过符合性审查供应商的报价；或者磋商小组认为供应商的报价明显低于其他通过符合性审查供应商的报价，有可能影响产品质量或者不能诚信履约的，供应商能在规定时间内应磋商小组要求证明其报价合理性。</w:t>
            </w:r>
          </w:p>
        </w:tc>
      </w:tr>
      <w:tr>
        <w:tc>
          <w:tcPr>
            <w:tcW w:type="dxa" w:w="890"/>
          </w:tcPr>
          <w:p>
            <w:r>
              <w:rPr/>
              <w:t>6</w:t>
            </w:r>
          </w:p>
        </w:tc>
        <w:tc>
          <w:tcPr>
            <w:tcW w:type="dxa" w:w="3178"/>
          </w:tcPr>
          <w:p>
            <w:r>
              <w:rPr/>
              <w:t>附加条件</w:t>
            </w:r>
          </w:p>
        </w:tc>
        <w:tc>
          <w:tcPr>
            <w:tcW w:type="dxa" w:w="4238"/>
          </w:tcPr>
          <w:p>
            <w:r>
              <w:rPr/>
              <w:t>响应文件未含有采购人不可接受的附加条件。</w:t>
            </w:r>
          </w:p>
        </w:tc>
      </w:tr>
      <w:tr>
        <w:tc>
          <w:tcPr>
            <w:tcW w:type="dxa" w:w="890"/>
          </w:tcPr>
          <w:p>
            <w:r>
              <w:rPr/>
              <w:t>7</w:t>
            </w:r>
          </w:p>
        </w:tc>
        <w:tc>
          <w:tcPr>
            <w:tcW w:type="dxa" w:w="3178"/>
          </w:tcPr>
          <w:p>
            <w:r>
              <w:rPr/>
              <w:t>其他情形</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采购包1(电力增容工程):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技术部分40.0分</w:t>
            </w:r>
          </w:p>
          <w:p>
            <w:r>
              <w:rPr/>
              <w:t>报价得分20.0分</w:t>
            </w:r>
          </w:p>
        </w:tc>
      </w:tr>
      <w:tr>
        <w:tc>
          <w:tcPr>
            <w:tcW w:type="dxa" w:w="922"/>
            <w:gridSpan w:val="2"/>
            <w:vMerge w:val="restart"/>
          </w:tcPr>
          <w:p>
            <w:pPr>
              <w:jc w:val="center"/>
            </w:pPr>
            <w:r>
              <w:rPr/>
              <w:t>技术部分</w:t>
            </w:r>
          </w:p>
        </w:tc>
        <w:tc>
          <w:tcPr>
            <w:tcW w:type="dxa" w:w="2307"/>
          </w:tcPr>
          <w:p>
            <w:pPr>
              <w:jc w:val="left"/>
            </w:pPr>
            <w:r>
              <w:rPr/>
              <w:t>总体施工方案 (12.0分)</w:t>
            </w:r>
          </w:p>
        </w:tc>
        <w:tc>
          <w:tcPr>
            <w:tcW w:type="dxa" w:w="5076"/>
          </w:tcPr>
          <w:p>
            <w:pPr>
              <w:jc w:val="left"/>
            </w:pPr>
            <w:r>
              <w:rPr/>
              <w:t>根据供应商对采购人项目需求的理解，所制定的总体施工方案包括项目整体实施计划、人材机进场计划、各项服务管理和组织实施方案、运作流程等方面进行综合评分。 （1）总体施工方案先进、科学、合理、详细，提供的方案、计划均能满足采购人管理要求的为优，得12分； （2）总体施工方案比较科学、合理，提供的方案、计划不够具体详细、比较能满足采购人管理要求的为良，得8分； （3）总体施工方案的科学性、合理性稍欠缺，提供的方案、计划不够具体简单的为中，得4分； （4）总体施工方案不科学、不合理，提供的方案、计划简单的为差，得1分；无提供不得分。</w:t>
            </w:r>
          </w:p>
        </w:tc>
      </w:tr>
      <w:tr>
        <w:tc>
          <w:tcPr>
            <w:tcW w:type="dxa" w:w="922"/>
            <w:gridSpan w:val="2"/>
            <w:vMerge/>
          </w:tcPr>
          <w:p/>
        </w:tc>
        <w:tc>
          <w:tcPr>
            <w:tcW w:type="dxa" w:w="2307"/>
          </w:tcPr>
          <w:p>
            <w:pPr>
              <w:jc w:val="left"/>
            </w:pPr>
            <w:r>
              <w:rPr/>
              <w:t>调试、验收方案 (12.0分)</w:t>
            </w:r>
          </w:p>
        </w:tc>
        <w:tc>
          <w:tcPr>
            <w:tcW w:type="dxa" w:w="5076"/>
          </w:tcPr>
          <w:p>
            <w:pPr>
              <w:jc w:val="left"/>
            </w:pPr>
            <w:r>
              <w:rPr/>
              <w:t>根据本项目特点制定供电系统的调试、验收工作方案，认识准确，符合供电部门相关规定，有考虑行业准入等相关的影响因素，并针对重点、难点分析情况，提出可行、有效、经济的处理措施。方案应包括合理的流程安排、对采购人停电转换影响程度、人员安排（包括技术负责人、施工人员等）、机械设备材料投入等相关保障措施、调试验收内容、工作流程（含供电部门办理的相关手续）等内容，并承诺按期完成相关调试验收工作，确保竣工送电。 （1）提供调试验收工作方案合理、工作流程清晰、对项目的重点、难点有详细的情况分析并提出可行、经济的处理措施为优，得12分； （2）提供调试验收工作方案较合理、工作流程较清晰、对项目的重点、难点稍作情况分析，并提出处理措施虽可行但不经济的为良，得8分； （3）提供调试验收工作方案基本合理、工作流程基本清晰、对项目的重点、难点有基本的情况分析，并提出的处理措施基本可行但不经济的为中，得4分； （4）调试、验收方案不合理，不详细，没有对项目的重点难点进行分析，且处理措施不可行不经济的为差，得1分；无提供不得分。</w:t>
            </w:r>
          </w:p>
        </w:tc>
      </w:tr>
      <w:tr>
        <w:tc>
          <w:tcPr>
            <w:tcW w:type="dxa" w:w="922"/>
            <w:gridSpan w:val="2"/>
            <w:vMerge/>
          </w:tcPr>
          <w:p/>
        </w:tc>
        <w:tc>
          <w:tcPr>
            <w:tcW w:type="dxa" w:w="2307"/>
          </w:tcPr>
          <w:p>
            <w:pPr>
              <w:jc w:val="left"/>
            </w:pPr>
            <w:r>
              <w:rPr/>
              <w:t>服务保障队伍 (12.0分)</w:t>
            </w:r>
          </w:p>
        </w:tc>
        <w:tc>
          <w:tcPr>
            <w:tcW w:type="dxa" w:w="5076"/>
          </w:tcPr>
          <w:p>
            <w:pPr>
              <w:jc w:val="left"/>
            </w:pPr>
            <w:r>
              <w:rPr/>
              <w:t>（1）提供运行维护管理保障方案，配备维护保养人员符合供电部门要求的特种作业操作证操作人员（高压电工作业、低压电工作业、电力电缆作业、电气试验作业、继电保护作业)，以上工种齐全，以上工种至少提供25个得12分。特种作业操作证操作人员不可兼任，同时具有两种或以上操作证，最多只能按一种计算。 （2）提供运行维护管理保障方案，配备维护保养人员符合供电部门要求的特种作业操作证操作人员（高压电工作业、低压电工作业、电力电缆作业、电气试验作业、继电保护作业)，以上工种至少提供20个，得6分。特种作业操作证操作人员不可兼任，同时具有两种或以上操作证，最多只能按一种计算。 （3）提供运行维护管理保障方案，配备维护保养人员符合供电部门要求的特种作业操作证操作人员（高压电工作业、低压电工作业、电力电缆作业、电气试验作业、继电保护作业)，以上工种至少提供10个，得3分。特种作业操作证操作人员不可兼任，同时具有两种或以上操作证，最多只能按一种计算。 （4）不满足前述要求者，不得分。</w:t>
            </w:r>
          </w:p>
        </w:tc>
      </w:tr>
      <w:tr>
        <w:tc>
          <w:tcPr>
            <w:tcW w:type="dxa" w:w="922"/>
            <w:gridSpan w:val="2"/>
            <w:vMerge/>
          </w:tcPr>
          <w:p/>
        </w:tc>
        <w:tc>
          <w:tcPr>
            <w:tcW w:type="dxa" w:w="2307"/>
          </w:tcPr>
          <w:p>
            <w:pPr>
              <w:jc w:val="left"/>
            </w:pPr>
            <w:r>
              <w:rPr/>
              <w:t>售后服务措施 (4.0分)</w:t>
            </w:r>
          </w:p>
        </w:tc>
        <w:tc>
          <w:tcPr>
            <w:tcW w:type="dxa" w:w="5076"/>
          </w:tcPr>
          <w:p>
            <w:pPr>
              <w:jc w:val="left"/>
            </w:pPr>
            <w:r>
              <w:rPr/>
              <w:t>因本项目的特殊性，供应商的售后服务响应时间应迅速、并配备充足服务人员。 （1）质保期内，如发生故障，供应商承诺1小时内响应并派专人到达现场处理的，得4分； （2）质保期内，如发生故障，供应商承诺2小时内响应并派专人到达现场处理的，得2分； （3）质保期内，如发生故障，供应商承诺3小时内响应并派专人到达现场处理的，得0分； 注：须提供承诺函，格式自拟，内容同时承诺成交后未达到以上要求每次按合同价的1%处罚。承诺函须加盖公章及法定代表人签字，若未按要求承诺，不得分。</w:t>
            </w:r>
          </w:p>
        </w:tc>
      </w:tr>
      <w:tr>
        <w:tc>
          <w:tcPr>
            <w:tcW w:type="dxa" w:w="922"/>
            <w:gridSpan w:val="2"/>
            <w:vMerge w:val="restart"/>
          </w:tcPr>
          <w:p>
            <w:pPr>
              <w:jc w:val="center"/>
            </w:pPr>
            <w:r>
              <w:rPr/>
              <w:t>商务部分</w:t>
            </w:r>
          </w:p>
        </w:tc>
        <w:tc>
          <w:tcPr>
            <w:tcW w:type="dxa" w:w="2307"/>
          </w:tcPr>
          <w:p>
            <w:pPr>
              <w:jc w:val="left"/>
            </w:pPr>
            <w:r>
              <w:rPr/>
              <w:t>报价人业绩 (8.0分)</w:t>
            </w:r>
          </w:p>
        </w:tc>
        <w:tc>
          <w:tcPr>
            <w:tcW w:type="dxa" w:w="5076"/>
          </w:tcPr>
          <w:p>
            <w:pPr>
              <w:jc w:val="left"/>
            </w:pPr>
            <w:r>
              <w:rPr/>
              <w:t>2020年1月1日以来供应商独立完成过类似工程业绩，每提供一项得1分，本项最高的8分。 注：提供合同关键页证明材料复印件加盖公章。（合同关键页包括但不限于：合同首页、合同内容页、合同金额页、合同执行时间或合同签订时间页、合同签字盖章页。）无提供不得分。</w:t>
            </w:r>
          </w:p>
        </w:tc>
      </w:tr>
      <w:tr>
        <w:tc>
          <w:tcPr>
            <w:tcW w:type="dxa" w:w="922"/>
            <w:gridSpan w:val="2"/>
            <w:vMerge/>
          </w:tcPr>
          <w:p/>
        </w:tc>
        <w:tc>
          <w:tcPr>
            <w:tcW w:type="dxa" w:w="2307"/>
          </w:tcPr>
          <w:p>
            <w:pPr>
              <w:jc w:val="left"/>
            </w:pPr>
            <w:r>
              <w:rPr/>
              <w:t>工程项目获奖 (10.0分)</w:t>
            </w:r>
          </w:p>
        </w:tc>
        <w:tc>
          <w:tcPr>
            <w:tcW w:type="dxa" w:w="5076"/>
          </w:tcPr>
          <w:p>
            <w:pPr>
              <w:jc w:val="left"/>
            </w:pPr>
            <w:r>
              <w:rPr/>
              <w:t>供应商自2019年1月1日至响应截止时间止，获得过同类项目奖项证明的，每获得一个国家级的奖项得1分；每获得一个省级的奖项得0.5分；每获得一个市级的奖项得0.25分；最高得10分。 注：提供证书复印件或发文文件并加盖公章，同一项目只计算一次得分。不符合上述条件或不提供证明材料的，不得分。</w:t>
            </w:r>
          </w:p>
        </w:tc>
      </w:tr>
      <w:tr>
        <w:tc>
          <w:tcPr>
            <w:tcW w:type="dxa" w:w="922"/>
            <w:gridSpan w:val="2"/>
            <w:vMerge/>
          </w:tcPr>
          <w:p/>
        </w:tc>
        <w:tc>
          <w:tcPr>
            <w:tcW w:type="dxa" w:w="2307"/>
          </w:tcPr>
          <w:p>
            <w:pPr>
              <w:jc w:val="left"/>
            </w:pPr>
            <w:r>
              <w:rPr/>
              <w:t>供应商认证 (6.0分)</w:t>
            </w:r>
          </w:p>
        </w:tc>
        <w:tc>
          <w:tcPr>
            <w:tcW w:type="dxa" w:w="5076"/>
          </w:tcPr>
          <w:p>
            <w:pPr>
              <w:jc w:val="left"/>
            </w:pPr>
            <w:r>
              <w:rPr/>
              <w:t>供应商提供有效期内的管理体系认证（质量管理体系、环境管理体系、职业健康安全管理体系），每提供一项得2分，本项最高得6分。需提供在全国认证认可信息公共服务平台（http://cx.cnca.cn/）的认证信息截图，未按要求提供或已失效或撤销的不得分。</w:t>
            </w:r>
          </w:p>
        </w:tc>
      </w:tr>
      <w:tr>
        <w:tc>
          <w:tcPr>
            <w:tcW w:type="dxa" w:w="922"/>
            <w:gridSpan w:val="2"/>
            <w:vMerge/>
          </w:tcPr>
          <w:p/>
        </w:tc>
        <w:tc>
          <w:tcPr>
            <w:tcW w:type="dxa" w:w="2307"/>
          </w:tcPr>
          <w:p>
            <w:pPr>
              <w:jc w:val="left"/>
            </w:pPr>
            <w:r>
              <w:rPr/>
              <w:t>拟派项目团队成员（各岗位人员不得相互兼职） (16.0分)</w:t>
            </w:r>
          </w:p>
        </w:tc>
        <w:tc>
          <w:tcPr>
            <w:tcW w:type="dxa" w:w="5076"/>
          </w:tcPr>
          <w:p>
            <w:pPr>
              <w:jc w:val="left"/>
            </w:pPr>
            <w:r>
              <w:rPr/>
              <w:t>除项目负责人和技术负责人外，拟投入本项目的注册电气工程师2人、注册安全工程师2人、安装专业注册造价工程师1人，建筑电气专业高级工程师1人、电子与智能化专业高级工程师1人、材料专业高级工程师1人。 1.项目团队均满足上述要求的，得16分； 2. 项目团队缺少1人的，扣2分； 注：以上人员需提供相关证书复印件、身份证复印件及2023年1月以来任意一个月由供应商为其交纳社保的证明材料复印件，项目团队成员一个人只能担任1个岗位，不得兼任。</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ind w:firstLine="420"/>
        <w:jc w:val="both"/>
      </w:pPr>
    </w:p>
    <w:p>
      <w:pPr>
        <w:ind w:firstLine="420"/>
        <w:jc w:val="both"/>
      </w:pPr>
    </w:p>
    <w:p>
      <w:pPr>
        <w:ind w:firstLine="420"/>
        <w:jc w:val="both"/>
      </w:pPr>
    </w:p>
    <w:p>
      <w:pPr>
        <w:jc w:val="both"/>
      </w:pPr>
    </w:p>
    <w:p>
      <w:pPr>
        <w:jc w:val="both"/>
      </w:pPr>
    </w:p>
    <w:p>
      <w:pPr>
        <w:jc w:val="center"/>
      </w:pPr>
      <w:r>
        <w:rPr>
          <w:b/>
          <w:sz w:val="72"/>
        </w:rPr>
        <w:t>建筑工程施工合同</w:t>
      </w:r>
    </w:p>
    <w:p>
      <w:pPr>
        <w:jc w:val="center"/>
      </w:pPr>
    </w:p>
    <w:p>
      <w:pPr>
        <w:jc w:val="center"/>
      </w:pPr>
    </w:p>
    <w:p>
      <w:pPr>
        <w:ind w:firstLine="420"/>
        <w:jc w:val="both"/>
      </w:pPr>
    </w:p>
    <w:p>
      <w:pPr>
        <w:jc w:val="both"/>
      </w:pPr>
    </w:p>
    <w:p>
      <w:pPr>
        <w:jc w:val="center"/>
      </w:pPr>
    </w:p>
    <w:p>
      <w:pPr>
        <w:ind w:firstLine="422"/>
        <w:jc w:val="both"/>
      </w:pPr>
      <w:r>
        <w:rPr>
          <w:b/>
          <w:sz w:val="28"/>
        </w:rPr>
        <w:t>项目名称：</w:t>
      </w:r>
      <w:r>
        <w:rPr>
          <w:b/>
          <w:sz w:val="28"/>
          <w:u w:val="single"/>
        </w:rPr>
        <w:t>广州中医药大学第三附属医院</w:t>
      </w:r>
      <w:r>
        <w:rPr>
          <w:b/>
          <w:sz w:val="28"/>
          <w:u w:val="single"/>
        </w:rPr>
        <w:t>骨伤科分院电力增容工程</w:t>
      </w:r>
      <w:r>
        <w:rPr>
          <w:b/>
          <w:sz w:val="21"/>
          <w:u w:val="single"/>
        </w:rPr>
        <w:t xml:space="preserve">  </w:t>
      </w:r>
    </w:p>
    <w:p>
      <w:pPr>
        <w:ind w:firstLine="2400"/>
        <w:jc w:val="both"/>
      </w:pPr>
    </w:p>
    <w:p>
      <w:pPr>
        <w:ind w:firstLine="420"/>
        <w:jc w:val="both"/>
      </w:pPr>
    </w:p>
    <w:p>
      <w:pPr>
        <w:jc w:val="both"/>
      </w:pPr>
    </w:p>
    <w:p>
      <w:pPr>
        <w:ind w:firstLine="843"/>
        <w:jc w:val="both"/>
      </w:pPr>
    </w:p>
    <w:p>
      <w:pPr>
        <w:ind w:firstLine="1968"/>
        <w:jc w:val="both"/>
      </w:pPr>
      <w:r>
        <w:rPr>
          <w:b/>
          <w:sz w:val="28"/>
        </w:rPr>
        <w:t>甲方：</w:t>
      </w:r>
      <w:r>
        <w:rPr>
          <w:b/>
          <w:sz w:val="28"/>
          <w:u w:val="single"/>
        </w:rPr>
        <w:t>广州中医药大学第三附属医院</w:t>
      </w:r>
    </w:p>
    <w:p>
      <w:pPr>
        <w:ind w:firstLine="843"/>
        <w:jc w:val="both"/>
      </w:pPr>
    </w:p>
    <w:p>
      <w:pPr>
        <w:ind w:firstLine="1968"/>
        <w:jc w:val="both"/>
      </w:pPr>
      <w:r>
        <w:rPr>
          <w:b/>
          <w:sz w:val="28"/>
        </w:rPr>
        <w:t>乙方：</w:t>
      </w:r>
      <w:r>
        <w:rPr>
          <w:b/>
          <w:sz w:val="21"/>
          <w:u w:val="single"/>
        </w:rPr>
        <w:t xml:space="preserve">                          </w:t>
      </w:r>
      <w:r>
        <w:rPr>
          <w:b/>
          <w:sz w:val="21"/>
        </w:rPr>
        <w:t xml:space="preserve">                            </w:t>
      </w:r>
    </w:p>
    <w:p>
      <w:pPr>
        <w:ind w:firstLine="1968"/>
        <w:jc w:val="both"/>
      </w:pPr>
    </w:p>
    <w:p>
      <w:pPr>
        <w:ind w:firstLine="1968"/>
        <w:jc w:val="both"/>
      </w:pPr>
      <w:r>
        <w:rPr>
          <w:b/>
          <w:sz w:val="28"/>
        </w:rPr>
        <w:t>签订日期：</w:t>
      </w:r>
      <w:r>
        <w:rPr>
          <w:b/>
          <w:sz w:val="21"/>
          <w:u w:val="single"/>
        </w:rPr>
        <w:t xml:space="preserve">                      </w:t>
      </w:r>
    </w:p>
    <w:p>
      <w:pPr>
        <w:jc w:val="both"/>
      </w:pPr>
    </w:p>
    <w:p>
      <w:pPr>
        <w:jc w:val="both"/>
      </w:pPr>
    </w:p>
    <w:p/>
    <w:p>
      <w:r>
        <w:rPr/>
        <w:t xml:space="preserve"> </w:t>
      </w:r>
    </w:p>
    <w:p>
      <w:pPr>
        <w:jc w:val="both"/>
      </w:pPr>
      <w:r>
        <w:rPr>
          <w:b/>
          <w:sz w:val="21"/>
        </w:rPr>
        <w:t>甲方：</w:t>
      </w:r>
      <w:r>
        <w:rPr>
          <w:sz w:val="21"/>
          <w:u w:val="single"/>
        </w:rPr>
        <w:t>广州中医药大学第三附属医院</w:t>
      </w:r>
    </w:p>
    <w:p>
      <w:pPr>
        <w:jc w:val="both"/>
      </w:pPr>
      <w:r>
        <w:rPr>
          <w:b/>
          <w:sz w:val="21"/>
        </w:rPr>
        <w:t>乙方：</w:t>
      </w:r>
    </w:p>
    <w:p>
      <w:pPr>
        <w:jc w:val="left"/>
      </w:pPr>
    </w:p>
    <w:p>
      <w:pPr>
        <w:ind w:firstLine="420"/>
        <w:jc w:val="left"/>
      </w:pPr>
      <w:r>
        <w:rPr>
          <w:sz w:val="21"/>
        </w:rPr>
        <w:t>按照《中华人民共和国民法典》、</w:t>
      </w:r>
      <w:r>
        <w:rPr>
          <w:sz w:val="21"/>
        </w:rPr>
        <w:t>《中华人民共和国建筑法》、《建设工程勘察设计管理条例》、</w:t>
      </w:r>
      <w:r>
        <w:rPr>
          <w:sz w:val="21"/>
        </w:rPr>
        <w:t>“</w:t>
      </w:r>
      <w:r>
        <w:rPr>
          <w:sz w:val="21"/>
          <w:u w:val="single"/>
        </w:rPr>
        <w:t>广州中医药大学第三附属医院</w:t>
      </w:r>
      <w:r>
        <w:rPr>
          <w:sz w:val="21"/>
          <w:u w:val="single"/>
        </w:rPr>
        <w:t>骨伤科分院电力增容工程</w:t>
      </w:r>
      <w:r>
        <w:rPr>
          <w:sz w:val="21"/>
        </w:rPr>
        <w:t>”采购文件的要求和采购结果，经甲乙双方协商一致，签订本合同。双方共同遵守如下条款（合同附件及本项目的</w:t>
      </w:r>
      <w:r>
        <w:rPr>
          <w:sz w:val="21"/>
        </w:rPr>
        <w:t>磋商</w:t>
      </w:r>
      <w:r>
        <w:rPr>
          <w:sz w:val="21"/>
        </w:rPr>
        <w:t>文件、</w:t>
      </w:r>
      <w:r>
        <w:rPr>
          <w:sz w:val="21"/>
        </w:rPr>
        <w:t>响应</w:t>
      </w:r>
      <w:r>
        <w:rPr>
          <w:sz w:val="21"/>
        </w:rPr>
        <w:t>文件等均为本合同不可分割之一部分，与本合同具有同等法律效力）：</w:t>
      </w:r>
    </w:p>
    <w:p>
      <w:pPr>
        <w:ind w:firstLine="422"/>
        <w:jc w:val="both"/>
      </w:pPr>
      <w:r>
        <w:rPr>
          <w:b/>
          <w:sz w:val="21"/>
        </w:rPr>
        <w:t>第一条</w:t>
      </w:r>
      <w:r>
        <w:rPr>
          <w:b/>
          <w:sz w:val="21"/>
        </w:rPr>
        <w:t xml:space="preserve"> </w:t>
      </w:r>
      <w:r>
        <w:rPr>
          <w:b/>
          <w:sz w:val="21"/>
        </w:rPr>
        <w:t>工程概况</w:t>
      </w:r>
    </w:p>
    <w:p>
      <w:pPr>
        <w:jc w:val="both"/>
      </w:pPr>
      <w:r>
        <w:rPr>
          <w:sz w:val="21"/>
        </w:rPr>
        <w:t>1.</w:t>
      </w:r>
      <w:r>
        <w:rPr>
          <w:sz w:val="21"/>
        </w:rPr>
        <w:t>工程名称：</w:t>
      </w:r>
      <w:r>
        <w:rPr>
          <w:sz w:val="21"/>
          <w:u w:val="single"/>
        </w:rPr>
        <w:t>广州中医药大学第三附属医院</w:t>
      </w:r>
      <w:r>
        <w:rPr>
          <w:sz w:val="21"/>
          <w:u w:val="single"/>
        </w:rPr>
        <w:t>骨伤科分院电力增容工程</w:t>
      </w:r>
      <w:r>
        <w:rPr>
          <w:sz w:val="21"/>
          <w:u w:val="single"/>
        </w:rPr>
        <w:t>。</w:t>
      </w:r>
    </w:p>
    <w:p>
      <w:pPr>
        <w:jc w:val="both"/>
      </w:pPr>
      <w:r>
        <w:rPr>
          <w:sz w:val="21"/>
        </w:rPr>
        <w:t>2.</w:t>
      </w:r>
      <w:r>
        <w:rPr>
          <w:sz w:val="21"/>
        </w:rPr>
        <w:t>工程地点：</w:t>
      </w:r>
      <w:r>
        <w:rPr>
          <w:sz w:val="21"/>
          <w:u w:val="single"/>
        </w:rPr>
        <w:t>广州市</w:t>
      </w:r>
      <w:r>
        <w:rPr>
          <w:sz w:val="21"/>
          <w:u w:val="single"/>
        </w:rPr>
        <w:t>海珠区江南中街</w:t>
      </w:r>
      <w:r>
        <w:rPr>
          <w:sz w:val="21"/>
          <w:u w:val="single"/>
        </w:rPr>
        <w:t>。</w:t>
      </w:r>
    </w:p>
    <w:p>
      <w:pPr>
        <w:jc w:val="both"/>
      </w:pPr>
      <w:r>
        <w:rPr>
          <w:sz w:val="21"/>
        </w:rPr>
        <w:t>3.</w:t>
      </w:r>
      <w:r>
        <w:rPr>
          <w:sz w:val="21"/>
        </w:rPr>
        <w:t>承包范围：按甲方确认的用户需求书、</w:t>
      </w:r>
      <w:r>
        <w:rPr>
          <w:sz w:val="21"/>
        </w:rPr>
        <w:t>施工</w:t>
      </w:r>
      <w:r>
        <w:rPr>
          <w:sz w:val="21"/>
        </w:rPr>
        <w:t>图纸、</w:t>
      </w:r>
      <w:r>
        <w:rPr>
          <w:sz w:val="21"/>
        </w:rPr>
        <w:t>设备技术参数要求、</w:t>
      </w:r>
      <w:r>
        <w:rPr>
          <w:sz w:val="21"/>
        </w:rPr>
        <w:t>工程量清单、乙方</w:t>
      </w:r>
      <w:r>
        <w:rPr>
          <w:sz w:val="21"/>
        </w:rPr>
        <w:t>响应</w:t>
      </w:r>
      <w:r>
        <w:rPr>
          <w:sz w:val="21"/>
        </w:rPr>
        <w:t>文件以及双方签订的有关协议所包含的内容执行</w:t>
      </w:r>
      <w:r>
        <w:rPr>
          <w:b/>
          <w:sz w:val="21"/>
        </w:rPr>
        <w:t>（甲方有可能根据实际情况调整施工范围，乙方须无条件接受）</w:t>
      </w:r>
      <w:r>
        <w:rPr>
          <w:sz w:val="21"/>
        </w:rPr>
        <w:t>。</w:t>
      </w:r>
      <w:r>
        <w:rPr>
          <w:sz w:val="21"/>
        </w:rPr>
        <w:t>具体如下：</w:t>
      </w:r>
    </w:p>
    <w:p>
      <w:pPr>
        <w:ind w:firstLine="420"/>
      </w:pPr>
      <w:r>
        <w:rPr>
          <w:sz w:val="21"/>
        </w:rPr>
        <w:t>①</w:t>
      </w:r>
      <w:r>
        <w:rPr>
          <w:sz w:val="21"/>
        </w:rPr>
        <w:t>新建</w:t>
      </w:r>
      <w:r>
        <w:rPr>
          <w:sz w:val="21"/>
        </w:rPr>
        <w:t>箱式</w:t>
      </w:r>
      <w:r>
        <w:rPr>
          <w:sz w:val="21"/>
        </w:rPr>
        <w:t>高压室、变电站</w:t>
      </w:r>
      <w:r>
        <w:rPr>
          <w:sz w:val="21"/>
        </w:rPr>
        <w:t>及改造低压配电房，高低压配电柜及</w:t>
      </w:r>
      <w:r>
        <w:rPr>
          <w:sz w:val="21"/>
        </w:rPr>
        <w:t>红线内外的市政管廊、</w:t>
      </w:r>
      <w:r>
        <w:rPr>
          <w:sz w:val="21"/>
        </w:rPr>
        <w:t>电缆沟和电缆敷设等。</w:t>
      </w:r>
    </w:p>
    <w:p>
      <w:pPr>
        <w:ind w:firstLine="420"/>
      </w:pPr>
      <w:r>
        <w:rPr>
          <w:sz w:val="21"/>
        </w:rPr>
        <w:t>②在供配电工程实施前期准备阶段、设计阶段、实施阶段、正式送电阶段，负责办理过程中涉及各相关主管部门的报批、报建、报验、专项检测、中间验收、调试和联合试运转、送电方案报审手续及沟通协调工作，并承担相关费用。</w:t>
      </w:r>
    </w:p>
    <w:p>
      <w:pPr>
        <w:ind w:firstLine="420"/>
      </w:pPr>
      <w:r>
        <w:rPr>
          <w:sz w:val="21"/>
        </w:rPr>
        <w:t>③确保供配电工程实施过程的安全文明施工；确保按时、按质、按量完成建设；确保按供电部门要求通过竣工验收，并达到送电要求。</w:t>
      </w:r>
    </w:p>
    <w:p>
      <w:pPr>
        <w:ind w:firstLine="420"/>
      </w:pPr>
      <w:r>
        <w:rPr>
          <w:sz w:val="21"/>
        </w:rPr>
        <w:t>④及时按要求组织项目建设结算及资料整理。</w:t>
      </w:r>
    </w:p>
    <w:p>
      <w:pPr>
        <w:ind w:firstLine="420"/>
      </w:pPr>
      <w:r>
        <w:rPr>
          <w:sz w:val="21"/>
        </w:rPr>
        <w:t>⑤质保期售后服务。</w:t>
      </w:r>
    </w:p>
    <w:p>
      <w:pPr>
        <w:ind w:firstLine="420"/>
      </w:pPr>
      <w:r>
        <w:rPr>
          <w:sz w:val="21"/>
        </w:rPr>
        <w:t>⑥运行维护管理。具备突发设备故障的抢修能力，并配置专业团队人员（持有高压进网作业许可证或特种作业操作证）</w:t>
      </w:r>
      <w:r>
        <w:rPr>
          <w:sz w:val="21"/>
        </w:rPr>
        <w:t>。</w:t>
      </w:r>
    </w:p>
    <w:p>
      <w:pPr>
        <w:ind w:firstLine="420"/>
        <w:jc w:val="both"/>
      </w:pPr>
      <w:r>
        <w:rPr>
          <w:sz w:val="21"/>
        </w:rPr>
        <w:t>4.</w:t>
      </w:r>
      <w:r>
        <w:rPr>
          <w:sz w:val="21"/>
        </w:rPr>
        <w:t>承包方式：工程量清单报价，综合单价包干，绿色施工安全防护措施费</w:t>
      </w:r>
      <w:r>
        <w:rPr>
          <w:sz w:val="21"/>
        </w:rPr>
        <w:t>及预算包干费总价包干</w:t>
      </w:r>
      <w:r>
        <w:rPr>
          <w:sz w:val="21"/>
        </w:rPr>
        <w:t>，未提及的其他任何费用均不计取。（综合单价包干：指完成工程量清单中一个规定计量单位按照图纸要求完成所有工作内容所需的人工费、材料费、机械使用费、管理费、利润和报价人为完成该项工作而产生的其他费用并考虑风险因素。合同约定的综合单价包干在任何情况下不调整（合同明文另有规定可调增或调减的除外））</w:t>
      </w:r>
    </w:p>
    <w:p>
      <w:pPr>
        <w:ind w:firstLine="420"/>
        <w:jc w:val="both"/>
      </w:pPr>
      <w:r>
        <w:rPr>
          <w:sz w:val="21"/>
        </w:rPr>
        <w:t>5.</w:t>
      </w:r>
      <w:r>
        <w:rPr>
          <w:sz w:val="21"/>
        </w:rPr>
        <w:t>工期：由甲方发出开工令之日计算，至</w:t>
      </w:r>
      <w:r>
        <w:rPr>
          <w:sz w:val="21"/>
        </w:rPr>
        <w:t>工程</w:t>
      </w:r>
      <w:r>
        <w:rPr>
          <w:sz w:val="21"/>
        </w:rPr>
        <w:t>竣</w:t>
      </w:r>
      <w:r>
        <w:rPr>
          <w:sz w:val="21"/>
        </w:rPr>
        <w:t>工</w:t>
      </w:r>
      <w:r>
        <w:rPr>
          <w:sz w:val="21"/>
        </w:rPr>
        <w:t>验收合格</w:t>
      </w:r>
      <w:r>
        <w:rPr>
          <w:sz w:val="21"/>
        </w:rPr>
        <w:t>之日止，</w:t>
      </w:r>
      <w:r>
        <w:rPr>
          <w:sz w:val="21"/>
        </w:rPr>
        <w:t>总工期：</w:t>
      </w:r>
      <w:r>
        <w:rPr>
          <w:sz w:val="21"/>
          <w:u w:val="single"/>
        </w:rPr>
        <w:t xml:space="preserve"> </w:t>
      </w:r>
      <w:r>
        <w:rPr>
          <w:sz w:val="21"/>
          <w:u w:val="single"/>
        </w:rPr>
        <w:t>120</w:t>
      </w:r>
      <w:r>
        <w:rPr>
          <w:sz w:val="21"/>
        </w:rPr>
        <w:t>日历天。</w:t>
      </w:r>
      <w:r>
        <w:rPr>
          <w:sz w:val="21"/>
        </w:rPr>
        <w:t>实际工期甲方有权根据项目现场具体情况作适当调整。</w:t>
      </w:r>
    </w:p>
    <w:p>
      <w:pPr>
        <w:ind w:firstLine="420"/>
        <w:jc w:val="both"/>
      </w:pPr>
      <w:r>
        <w:rPr>
          <w:sz w:val="21"/>
        </w:rPr>
        <w:t>6.</w:t>
      </w:r>
      <w:r>
        <w:rPr>
          <w:sz w:val="21"/>
        </w:rPr>
        <w:t>工程质量：合格。本项目严格按照国家、广东省、广州市地区有关施工及验收规范、规程、标准进行施工和验收。</w:t>
      </w:r>
    </w:p>
    <w:p>
      <w:pPr>
        <w:ind w:firstLine="420"/>
        <w:jc w:val="both"/>
      </w:pPr>
      <w:r>
        <w:rPr>
          <w:sz w:val="21"/>
        </w:rPr>
        <w:t>7.</w:t>
      </w:r>
      <w:r>
        <w:rPr>
          <w:sz w:val="21"/>
        </w:rPr>
        <w:t>严格按甲方确认的深化设计施工图进行施工，按照设计文件和有关技术标准、规范和合同规定施工，</w:t>
      </w:r>
      <w:r>
        <w:rPr>
          <w:sz w:val="21"/>
        </w:rPr>
        <w:t>工程质量达到一次验收合格，且达到供电部门验收要求。</w:t>
      </w:r>
      <w:r>
        <w:rPr>
          <w:sz w:val="21"/>
        </w:rPr>
        <w:t>验收标准按国家颁发的《建筑工程施工质量验收统一标准》（</w:t>
      </w:r>
      <w:r>
        <w:rPr>
          <w:sz w:val="21"/>
        </w:rPr>
        <w:t>GB50300-2013）执行，必须达到新竣工备案制的合格标准。</w:t>
      </w:r>
    </w:p>
    <w:p>
      <w:pPr>
        <w:ind w:firstLine="420"/>
        <w:jc w:val="both"/>
      </w:pPr>
      <w:r>
        <w:rPr>
          <w:sz w:val="21"/>
        </w:rPr>
        <w:t>8.</w:t>
      </w:r>
      <w:r>
        <w:rPr>
          <w:sz w:val="21"/>
        </w:rPr>
        <w:t>配合本项目向供电部门报建，按审批方案施工，完成施工后向供电部门申报验收通电</w:t>
      </w:r>
      <w:r>
        <w:rPr>
          <w:sz w:val="21"/>
        </w:rPr>
        <w:t>。</w:t>
      </w:r>
    </w:p>
    <w:p>
      <w:pPr>
        <w:ind w:firstLine="420"/>
        <w:jc w:val="both"/>
      </w:pPr>
      <w:r>
        <w:rPr>
          <w:sz w:val="21"/>
        </w:rPr>
        <w:t>9.如</w:t>
      </w:r>
      <w:r>
        <w:rPr>
          <w:sz w:val="21"/>
        </w:rPr>
        <w:t>乙方要求</w:t>
      </w:r>
      <w:r>
        <w:rPr>
          <w:sz w:val="21"/>
        </w:rPr>
        <w:t>分包土建工程</w:t>
      </w:r>
      <w:r>
        <w:rPr>
          <w:sz w:val="21"/>
        </w:rPr>
        <w:t>，需</w:t>
      </w:r>
      <w:r>
        <w:rPr>
          <w:sz w:val="21"/>
        </w:rPr>
        <w:t>具备相应资质并</w:t>
      </w:r>
      <w:r>
        <w:rPr>
          <w:sz w:val="21"/>
        </w:rPr>
        <w:t>经甲方审批同意后，由乙方另行分包。</w:t>
      </w:r>
    </w:p>
    <w:p>
      <w:pPr>
        <w:ind w:firstLine="420"/>
        <w:jc w:val="both"/>
      </w:pPr>
      <w:r>
        <w:rPr>
          <w:sz w:val="21"/>
        </w:rPr>
        <w:t>10.</w:t>
      </w:r>
      <w:r>
        <w:rPr>
          <w:sz w:val="21"/>
        </w:rPr>
        <w:t>合同价款（含税）为</w:t>
      </w:r>
      <w:r>
        <w:rPr>
          <w:sz w:val="21"/>
        </w:rPr>
        <w:t>：</w:t>
      </w:r>
      <w:r>
        <w:rPr>
          <w:sz w:val="21"/>
        </w:rPr>
        <w:t>人民币（大写）</w:t>
      </w:r>
      <w:r>
        <w:rPr>
          <w:sz w:val="21"/>
          <w:u w:val="single"/>
        </w:rPr>
        <w:t xml:space="preserve">     </w:t>
      </w:r>
      <w:r>
        <w:rPr>
          <w:sz w:val="21"/>
          <w:u w:val="single"/>
        </w:rPr>
        <w:t xml:space="preserve"> </w:t>
      </w:r>
      <w:r>
        <w:rPr>
          <w:sz w:val="21"/>
        </w:rPr>
        <w:t>（</w:t>
      </w:r>
      <w:r>
        <w:rPr>
          <w:sz w:val="21"/>
          <w:u w:val="single"/>
        </w:rPr>
        <w:t xml:space="preserve">¥   </w:t>
      </w:r>
      <w:r>
        <w:rPr>
          <w:sz w:val="21"/>
          <w:u w:val="single"/>
        </w:rPr>
        <w:t>元</w:t>
      </w:r>
      <w:r>
        <w:rPr>
          <w:sz w:val="21"/>
        </w:rPr>
        <w:t>）；其中暂列金为</w:t>
      </w:r>
      <w:r>
        <w:rPr>
          <w:sz w:val="21"/>
          <w:u w:val="single"/>
        </w:rPr>
        <w:t xml:space="preserve">¥    </w:t>
      </w:r>
      <w:r>
        <w:rPr>
          <w:sz w:val="21"/>
        </w:rPr>
        <w:t>；绿色施工</w:t>
      </w:r>
      <w:r>
        <w:rPr>
          <w:sz w:val="21"/>
        </w:rPr>
        <w:t>安全</w:t>
      </w:r>
      <w:r>
        <w:rPr>
          <w:sz w:val="21"/>
        </w:rPr>
        <w:t>防护措施</w:t>
      </w:r>
      <w:r>
        <w:rPr>
          <w:sz w:val="21"/>
        </w:rPr>
        <w:t>费：</w:t>
      </w:r>
      <w:r>
        <w:rPr>
          <w:sz w:val="21"/>
          <w:u w:val="single"/>
        </w:rPr>
        <w:t>¥</w:t>
      </w:r>
      <w:r>
        <w:rPr>
          <w:sz w:val="21"/>
          <w:u w:val="single"/>
        </w:rPr>
        <w:t xml:space="preserve">    </w:t>
      </w:r>
      <w:r>
        <w:rPr>
          <w:sz w:val="21"/>
        </w:rPr>
        <w:t>元。</w:t>
      </w:r>
      <w:r>
        <w:rPr>
          <w:sz w:val="21"/>
        </w:rPr>
        <w:t>本合同税率</w:t>
      </w:r>
      <w:r>
        <w:rPr>
          <w:sz w:val="21"/>
          <w:u w:val="single"/>
        </w:rPr>
        <w:t>：</w:t>
      </w:r>
      <w:r>
        <w:rPr>
          <w:sz w:val="21"/>
          <w:u w:val="single"/>
        </w:rPr>
        <w:t xml:space="preserve">    </w:t>
      </w:r>
      <w:r>
        <w:rPr>
          <w:sz w:val="21"/>
          <w:u w:val="single"/>
        </w:rPr>
        <w:t>%</w:t>
      </w:r>
      <w:r>
        <w:rPr>
          <w:sz w:val="21"/>
        </w:rPr>
        <w:t>。</w:t>
      </w:r>
    </w:p>
    <w:p>
      <w:pPr>
        <w:ind w:firstLine="422"/>
        <w:jc w:val="both"/>
      </w:pPr>
      <w:r>
        <w:rPr>
          <w:b/>
          <w:sz w:val="21"/>
        </w:rPr>
        <w:t>第二条</w:t>
      </w:r>
      <w:r>
        <w:rPr>
          <w:b/>
          <w:sz w:val="21"/>
        </w:rPr>
        <w:t xml:space="preserve"> </w:t>
      </w:r>
      <w:r>
        <w:rPr>
          <w:b/>
          <w:sz w:val="21"/>
        </w:rPr>
        <w:t>甲方工作</w:t>
      </w:r>
    </w:p>
    <w:p>
      <w:pPr>
        <w:jc w:val="both"/>
      </w:pPr>
      <w:r>
        <w:rPr>
          <w:sz w:val="21"/>
        </w:rPr>
        <w:t>1.</w:t>
      </w:r>
      <w:r>
        <w:rPr>
          <w:sz w:val="21"/>
        </w:rPr>
        <w:t>负责对工程质量、安全、进度进行监督。</w:t>
      </w:r>
    </w:p>
    <w:p>
      <w:pPr>
        <w:jc w:val="both"/>
      </w:pPr>
      <w:r>
        <w:rPr>
          <w:sz w:val="21"/>
        </w:rPr>
        <w:t>2.</w:t>
      </w:r>
      <w:r>
        <w:rPr>
          <w:sz w:val="21"/>
        </w:rPr>
        <w:t>负责协调和解决施工过程中的有关问题。</w:t>
      </w:r>
    </w:p>
    <w:p>
      <w:pPr>
        <w:jc w:val="both"/>
      </w:pPr>
      <w:r>
        <w:rPr>
          <w:sz w:val="21"/>
        </w:rPr>
        <w:t>3.</w:t>
      </w:r>
      <w:r>
        <w:rPr>
          <w:sz w:val="21"/>
        </w:rPr>
        <w:t>按照合同规定支付工程款，依据乙方提交的结算资料完成结算审核。</w:t>
      </w:r>
    </w:p>
    <w:p>
      <w:pPr>
        <w:jc w:val="both"/>
      </w:pPr>
      <w:r>
        <w:rPr>
          <w:sz w:val="21"/>
        </w:rPr>
        <w:t>4.</w:t>
      </w:r>
      <w:r>
        <w:rPr>
          <w:sz w:val="21"/>
        </w:rPr>
        <w:t>负责</w:t>
      </w:r>
      <w:r>
        <w:rPr>
          <w:sz w:val="21"/>
        </w:rPr>
        <w:t>组织</w:t>
      </w:r>
      <w:r>
        <w:rPr>
          <w:sz w:val="21"/>
        </w:rPr>
        <w:t>工程验收。</w:t>
      </w:r>
    </w:p>
    <w:p>
      <w:pPr>
        <w:jc w:val="both"/>
      </w:pPr>
      <w:r>
        <w:rPr>
          <w:sz w:val="21"/>
        </w:rPr>
        <w:t>5. 甲方负责缴纳本项目的高可靠性供电费用。</w:t>
      </w:r>
    </w:p>
    <w:p>
      <w:pPr>
        <w:ind w:firstLine="422"/>
        <w:jc w:val="both"/>
      </w:pPr>
      <w:r>
        <w:rPr>
          <w:b/>
          <w:sz w:val="21"/>
        </w:rPr>
        <w:t>第三条</w:t>
      </w:r>
      <w:r>
        <w:rPr>
          <w:b/>
          <w:sz w:val="21"/>
        </w:rPr>
        <w:t xml:space="preserve"> </w:t>
      </w:r>
      <w:r>
        <w:rPr>
          <w:b/>
          <w:sz w:val="21"/>
        </w:rPr>
        <w:t>乙方工作</w:t>
      </w:r>
    </w:p>
    <w:p>
      <w:pPr>
        <w:ind w:firstLine="420"/>
        <w:jc w:val="both"/>
      </w:pPr>
      <w:r>
        <w:rPr>
          <w:sz w:val="21"/>
        </w:rPr>
        <w:t>1.</w:t>
      </w:r>
      <w:r>
        <w:rPr>
          <w:sz w:val="21"/>
        </w:rPr>
        <w:t>负责编制施工组织方案，组织实施并保质、保量、按期完成施工任务。负责项目包工、包料、包机械、包工期、包质量、包安全、包文明、包废料清运、包保险、包税收、包协调各方面关系、包验收合格、包因验收不能通过所需要发生的整改费用、包验收移交。完工后，负责编制竣工文件。</w:t>
      </w:r>
    </w:p>
    <w:p>
      <w:pPr>
        <w:ind w:firstLine="420"/>
        <w:jc w:val="both"/>
      </w:pPr>
      <w:r>
        <w:rPr>
          <w:sz w:val="21"/>
        </w:rPr>
        <w:t>2.</w:t>
      </w:r>
      <w:r>
        <w:rPr>
          <w:sz w:val="21"/>
        </w:rPr>
        <w:t>严格按甲方要求进行施工。乙方</w:t>
      </w:r>
      <w:r>
        <w:rPr>
          <w:sz w:val="21"/>
        </w:rPr>
        <w:t>须</w:t>
      </w:r>
      <w:r>
        <w:rPr>
          <w:sz w:val="21"/>
        </w:rPr>
        <w:t>保证按照本工程施工项目内容和设计图纸要求施工，相关技术参数符合项目技术资料和有关技术标准、规范和合同规定，验收标准按国家颁发的验收法规标准执行，必须达到新竣工备案制的合格标准。工程验收未达到验收合格标准的，乙方必须按照甲方要求实施返工直至合格，由此增加的一切费用由乙方自行承担且工期不顺延。</w:t>
      </w:r>
    </w:p>
    <w:p>
      <w:pPr>
        <w:ind w:firstLine="420"/>
        <w:jc w:val="both"/>
      </w:pPr>
      <w:r>
        <w:rPr>
          <w:sz w:val="21"/>
        </w:rPr>
        <w:t>3.</w:t>
      </w:r>
      <w:r>
        <w:rPr>
          <w:sz w:val="21"/>
        </w:rPr>
        <w:t>在任何情况下，乙方提出的工程变更必须获得甲方的书面同意方可实施。</w:t>
      </w:r>
    </w:p>
    <w:p>
      <w:pPr>
        <w:ind w:firstLine="420"/>
        <w:jc w:val="both"/>
      </w:pPr>
      <w:r>
        <w:rPr>
          <w:sz w:val="21"/>
        </w:rPr>
        <w:t>4.</w:t>
      </w:r>
      <w:r>
        <w:rPr>
          <w:sz w:val="21"/>
        </w:rPr>
        <w:t>乙方必须采取一切有效措施保证竣工日期，对于乙方原因造成的工期延误，工期一概不得顺延。</w:t>
      </w:r>
    </w:p>
    <w:p>
      <w:pPr>
        <w:ind w:firstLine="420"/>
        <w:jc w:val="both"/>
      </w:pPr>
      <w:r>
        <w:rPr>
          <w:sz w:val="21"/>
        </w:rPr>
        <w:t>5.</w:t>
      </w:r>
      <w:r>
        <w:rPr>
          <w:sz w:val="21"/>
        </w:rPr>
        <w:t>本工程使用的所有主材、设备，订货前，乙方应提供生产厂家的产品合格证书及样品给甲方，甲方确认符合工程使用要求后，方可使用。如发生货不对板，甲方有权拒用，并由乙方承担相关的损失。</w:t>
      </w:r>
    </w:p>
    <w:p>
      <w:pPr>
        <w:ind w:firstLine="420"/>
        <w:jc w:val="both"/>
      </w:pPr>
      <w:r>
        <w:rPr>
          <w:sz w:val="21"/>
        </w:rPr>
        <w:t>6.</w:t>
      </w:r>
      <w:r>
        <w:rPr>
          <w:sz w:val="21"/>
        </w:rPr>
        <w:t>由于施工现场周围是医疗、办公用房，乙方须</w:t>
      </w:r>
      <w:r>
        <w:rPr>
          <w:sz w:val="21"/>
        </w:rPr>
        <w:t>服从</w:t>
      </w:r>
      <w:r>
        <w:rPr>
          <w:sz w:val="21"/>
        </w:rPr>
        <w:t>甲方</w:t>
      </w:r>
      <w:r>
        <w:rPr>
          <w:sz w:val="21"/>
        </w:rPr>
        <w:t>管理，采取措施降低施工噪音及粉尘；施工时间及场地围蔽的要求：为了尽可能降低施工对周边环境的影响，工地施工时间</w:t>
      </w:r>
      <w:r>
        <w:rPr>
          <w:sz w:val="21"/>
        </w:rPr>
        <w:t>原则上规定为每日</w:t>
      </w:r>
      <w:r>
        <w:rPr>
          <w:sz w:val="21"/>
        </w:rPr>
        <w:t>8:00～12:00,14:00～18:00（因赶工需要</w:t>
      </w:r>
      <w:r>
        <w:rPr>
          <w:sz w:val="21"/>
        </w:rPr>
        <w:t>经甲方审</w:t>
      </w:r>
      <w:r>
        <w:rPr>
          <w:sz w:val="21"/>
        </w:rPr>
        <w:t>批同意</w:t>
      </w:r>
      <w:r>
        <w:rPr>
          <w:sz w:val="21"/>
        </w:rPr>
        <w:t>可延长至</w:t>
      </w:r>
      <w:r>
        <w:rPr>
          <w:sz w:val="21"/>
        </w:rPr>
        <w:t>21:00）</w:t>
      </w:r>
      <w:r>
        <w:rPr>
          <w:sz w:val="21"/>
        </w:rPr>
        <w:t>。</w:t>
      </w:r>
      <w:r>
        <w:rPr>
          <w:sz w:val="21"/>
        </w:rPr>
        <w:t>施工现场文明施工及围蔽必须符合《广州市建设工程现场文明施工管理办法》和广州市住房和城乡建设委员会《关于进一步规范建设工程施工现场围蔽的通知》的要求。乙方运输材料时需采取措施将对医疗场地环境的影响降到最低。</w:t>
      </w:r>
    </w:p>
    <w:p>
      <w:pPr>
        <w:ind w:firstLine="420"/>
        <w:jc w:val="both"/>
      </w:pPr>
      <w:r>
        <w:rPr>
          <w:sz w:val="21"/>
        </w:rPr>
        <w:t>7.</w:t>
      </w:r>
      <w:r>
        <w:rPr>
          <w:sz w:val="21"/>
        </w:rPr>
        <w:t>乙方必须采取严格措施确保医院人员及病人的安全，并不对病人进行干扰。施工现场必须全封闭，施工人员及材料运输应走专用通道。</w:t>
      </w:r>
    </w:p>
    <w:p>
      <w:pPr>
        <w:ind w:firstLine="420"/>
        <w:jc w:val="both"/>
      </w:pPr>
      <w:r>
        <w:rPr>
          <w:sz w:val="21"/>
        </w:rPr>
        <w:t>8.</w:t>
      </w:r>
      <w:r>
        <w:rPr>
          <w:sz w:val="21"/>
        </w:rPr>
        <w:t>乙方负责从甲方</w:t>
      </w:r>
      <w:r>
        <w:rPr>
          <w:sz w:val="21"/>
        </w:rPr>
        <w:t>指定位置接驳施工用水用电，并安装独立水表电表，</w:t>
      </w:r>
      <w:r>
        <w:rPr>
          <w:sz w:val="21"/>
        </w:rPr>
        <w:t>相应的设备及管线安装拆除费用及</w:t>
      </w:r>
      <w:r>
        <w:rPr>
          <w:sz w:val="21"/>
        </w:rPr>
        <w:t>施工期间产生的水电费由乙方承担。</w:t>
      </w:r>
      <w:r>
        <w:rPr>
          <w:sz w:val="21"/>
        </w:rPr>
        <w:t>在施工结束、竣工验收并撤表后，</w:t>
      </w:r>
      <w:r>
        <w:rPr>
          <w:sz w:val="21"/>
        </w:rPr>
        <w:t>乙方于十五天内</w:t>
      </w:r>
      <w:r>
        <w:rPr>
          <w:sz w:val="21"/>
        </w:rPr>
        <w:t>将水电费缴纳至</w:t>
      </w:r>
      <w:r>
        <w:rPr>
          <w:sz w:val="21"/>
        </w:rPr>
        <w:t>甲方</w:t>
      </w:r>
      <w:r>
        <w:rPr>
          <w:sz w:val="21"/>
        </w:rPr>
        <w:t>指定银行账户</w:t>
      </w:r>
      <w:r>
        <w:rPr>
          <w:sz w:val="21"/>
        </w:rPr>
        <w:t>。</w:t>
      </w:r>
      <w:r>
        <w:rPr>
          <w:sz w:val="21"/>
        </w:rPr>
        <w:t>施工期间施工人员不得在施工现场明火煮食及住宿，食宿由乙方自行解决</w:t>
      </w:r>
      <w:r>
        <w:rPr>
          <w:sz w:val="21"/>
        </w:rPr>
        <w:t>，</w:t>
      </w:r>
      <w:r>
        <w:rPr>
          <w:sz w:val="21"/>
        </w:rPr>
        <w:t>相关费用已含在合同价中</w:t>
      </w:r>
      <w:r>
        <w:rPr>
          <w:sz w:val="21"/>
        </w:rPr>
        <w:t>。</w:t>
      </w:r>
    </w:p>
    <w:p>
      <w:pPr>
        <w:ind w:firstLine="420"/>
        <w:jc w:val="both"/>
      </w:pPr>
      <w:r>
        <w:rPr>
          <w:sz w:val="21"/>
        </w:rPr>
        <w:t>9.</w:t>
      </w:r>
      <w:r>
        <w:rPr>
          <w:sz w:val="21"/>
        </w:rPr>
        <w:t>乙方在施工期间应严格遵守国家、省、市、甲方有关防火、爆破和施工安全以及文明施工、深夜施工、环卫和城管、计划生育等规定，建立规章制度和防护措施。由于自身措施不力造成的事故责任、法律责任和经济责任，均由乙方自行负责。</w:t>
      </w:r>
    </w:p>
    <w:p>
      <w:pPr>
        <w:ind w:firstLine="420"/>
        <w:jc w:val="both"/>
      </w:pPr>
      <w:r>
        <w:rPr>
          <w:sz w:val="21"/>
        </w:rPr>
        <w:t>10.</w:t>
      </w:r>
      <w:r>
        <w:rPr>
          <w:sz w:val="21"/>
        </w:rPr>
        <w:t>乙方不可野蛮施工，应按安全施工的要求，采取严格科学的安全措施，确保施工安全和第三者的安全，施工过程中因施工不当或其它原因造成的人员伤亡和事故及其它事故责任、法律责任和经济责任，全部由乙方自行承担。若因此导致甲方被第三方追究法律责任，所造成的甲方的一切经济损失均由乙方予以赔偿。</w:t>
      </w:r>
    </w:p>
    <w:p>
      <w:pPr>
        <w:ind w:firstLine="420"/>
        <w:jc w:val="both"/>
      </w:pPr>
      <w:r>
        <w:rPr>
          <w:sz w:val="21"/>
        </w:rPr>
        <w:t>11.</w:t>
      </w:r>
      <w:r>
        <w:rPr>
          <w:sz w:val="21"/>
        </w:rPr>
        <w:t>指派为乙方项目负责人</w:t>
      </w:r>
      <w:r>
        <w:rPr>
          <w:sz w:val="21"/>
          <w:u w:val="single"/>
        </w:rPr>
        <w:t xml:space="preserve">      </w:t>
      </w:r>
      <w:r>
        <w:rPr>
          <w:sz w:val="21"/>
        </w:rPr>
        <w:t>，联系方式：</w:t>
      </w:r>
      <w:r>
        <w:rPr>
          <w:sz w:val="21"/>
          <w:u w:val="single"/>
        </w:rPr>
        <w:t xml:space="preserve">    </w:t>
      </w:r>
      <w:r>
        <w:rPr>
          <w:sz w:val="21"/>
        </w:rPr>
        <w:t>，负责合同履行。乙方项目负责人负责整个项目全过程管理及与甲方沟通，承诺全程合同期内项目负责人未经甲方书面许可不得更换。乙方配备满足项目要求的各类专业人员和施工人员。按要求组织施工，保质、保量、按期完成施工任务，解决由乙方负责的各项事宜。</w:t>
      </w:r>
    </w:p>
    <w:p>
      <w:pPr>
        <w:ind w:firstLine="420"/>
        <w:jc w:val="both"/>
      </w:pPr>
      <w:r>
        <w:rPr>
          <w:sz w:val="21"/>
        </w:rPr>
        <w:t>12.</w:t>
      </w:r>
      <w:r>
        <w:rPr>
          <w:sz w:val="21"/>
        </w:rPr>
        <w:t>乙方及其工作人员应具备履行本</w:t>
      </w:r>
      <w:r>
        <w:rPr>
          <w:sz w:val="21"/>
        </w:rPr>
        <w:t>合同</w:t>
      </w:r>
      <w:r>
        <w:rPr>
          <w:sz w:val="21"/>
        </w:rPr>
        <w:t>的相应资质资格。因不具备政府相关部门确认的资质而给甲方造成的一切损失，由乙方负责赔偿。</w:t>
      </w:r>
    </w:p>
    <w:p>
      <w:pPr>
        <w:ind w:firstLine="420"/>
        <w:jc w:val="both"/>
      </w:pPr>
      <w:r>
        <w:rPr>
          <w:sz w:val="21"/>
        </w:rPr>
        <w:t>13.</w:t>
      </w:r>
      <w:r>
        <w:rPr>
          <w:sz w:val="21"/>
        </w:rPr>
        <w:t>如现场工作人员不服从甲方管理或违反操作规范造成不良后果的，乙方应按甲方要求更换工作人员，同时每发生一次前述情形的，甲方有权对乙方扣减合同总金额的</w:t>
      </w:r>
      <w:r>
        <w:rPr>
          <w:sz w:val="21"/>
        </w:rPr>
        <w:t>1%作为违约金，且乙方应就甲方因此遭受的全部损失承担赔偿责任。</w:t>
      </w:r>
    </w:p>
    <w:p>
      <w:pPr>
        <w:ind w:firstLine="420"/>
        <w:jc w:val="both"/>
      </w:pPr>
      <w:r>
        <w:rPr>
          <w:sz w:val="21"/>
        </w:rPr>
        <w:t>14.</w:t>
      </w:r>
      <w:r>
        <w:rPr>
          <w:sz w:val="21"/>
        </w:rPr>
        <w:t>甲方的施工现场不提供施工人员办公场地及住宿场地，由乙方自行解决，相关费用已包含在合同价中。</w:t>
      </w:r>
    </w:p>
    <w:p>
      <w:pPr>
        <w:ind w:firstLine="211"/>
        <w:jc w:val="both"/>
      </w:pPr>
      <w:r>
        <w:rPr>
          <w:b/>
          <w:sz w:val="21"/>
        </w:rPr>
        <w:t>第四条</w:t>
      </w:r>
      <w:r>
        <w:rPr>
          <w:b/>
          <w:sz w:val="21"/>
        </w:rPr>
        <w:t xml:space="preserve"> </w:t>
      </w:r>
      <w:r>
        <w:rPr>
          <w:b/>
          <w:sz w:val="21"/>
        </w:rPr>
        <w:t>关于工程质量及验收的约定</w:t>
      </w:r>
    </w:p>
    <w:p>
      <w:pPr>
        <w:ind w:firstLine="420"/>
        <w:jc w:val="both"/>
      </w:pPr>
      <w:r>
        <w:rPr>
          <w:sz w:val="21"/>
        </w:rPr>
        <w:t>1. 工程达到一次验收合格，且达到供电部门验收要求。本项目严格按照国家、广东省、广州市地区有关施工及验收规范、规程、标准进行施工和验收，确保项目达到合格标准。项目达不到合格标准，由乙方无偿返修并承担由此造成的损失和责任，工期不予顺延。</w:t>
      </w:r>
    </w:p>
    <w:p>
      <w:pPr>
        <w:ind w:firstLine="420"/>
        <w:jc w:val="both"/>
      </w:pPr>
      <w:r>
        <w:rPr>
          <w:sz w:val="21"/>
        </w:rPr>
        <w:t>2. 由于乙方原因造成质量、安全事故，其返工费用由乙方自行承担，工期不顺延。如因质量事故造成甲方或第三人损失的，相关损失由乙方赔偿。</w:t>
      </w:r>
    </w:p>
    <w:p>
      <w:pPr>
        <w:ind w:firstLine="420"/>
        <w:jc w:val="both"/>
      </w:pPr>
      <w:r>
        <w:rPr>
          <w:sz w:val="21"/>
        </w:rPr>
        <w:t>3. 工程</w:t>
      </w:r>
      <w:r>
        <w:rPr>
          <w:sz w:val="21"/>
        </w:rPr>
        <w:t>完</w:t>
      </w:r>
      <w:r>
        <w:rPr>
          <w:sz w:val="21"/>
        </w:rPr>
        <w:t>工后，乙方应通知甲方验收</w:t>
      </w:r>
      <w:r>
        <w:rPr>
          <w:sz w:val="21"/>
        </w:rPr>
        <w:t>。</w:t>
      </w:r>
      <w:r>
        <w:rPr>
          <w:sz w:val="21"/>
        </w:rPr>
        <w:t>甲方</w:t>
      </w:r>
      <w:r>
        <w:rPr>
          <w:sz w:val="21"/>
        </w:rPr>
        <w:t>组织乙方、监理单位（若有）、设计单位、供电主管部门</w:t>
      </w:r>
      <w:r>
        <w:rPr>
          <w:sz w:val="21"/>
        </w:rPr>
        <w:t>组织验收，并办理验收、移交手续。验收应在甲乙双方共同参加下进行。</w:t>
      </w:r>
    </w:p>
    <w:p>
      <w:pPr>
        <w:ind w:firstLine="422"/>
        <w:jc w:val="both"/>
      </w:pPr>
      <w:r>
        <w:rPr>
          <w:b/>
          <w:sz w:val="21"/>
        </w:rPr>
        <w:t>第五条</w:t>
      </w:r>
      <w:r>
        <w:rPr>
          <w:b/>
          <w:sz w:val="21"/>
        </w:rPr>
        <w:t xml:space="preserve"> </w:t>
      </w:r>
      <w:r>
        <w:rPr>
          <w:b/>
          <w:sz w:val="21"/>
        </w:rPr>
        <w:t>关于工程价款及结算的约定</w:t>
      </w:r>
    </w:p>
    <w:p>
      <w:pPr>
        <w:jc w:val="both"/>
      </w:pPr>
      <w:r>
        <w:rPr>
          <w:sz w:val="21"/>
        </w:rPr>
        <w:t>1、双方商定本合同价款采用第</w:t>
      </w:r>
      <w:r>
        <w:rPr>
          <w:sz w:val="21"/>
          <w:u w:val="single"/>
        </w:rPr>
        <w:t xml:space="preserve">  </w:t>
      </w:r>
      <w:r>
        <w:rPr>
          <w:sz w:val="21"/>
          <w:u w:val="single"/>
        </w:rPr>
        <w:t>（</w:t>
      </w:r>
      <w:r>
        <w:rPr>
          <w:sz w:val="21"/>
          <w:u w:val="single"/>
        </w:rPr>
        <w:t xml:space="preserve">3）  </w:t>
      </w:r>
      <w:r>
        <w:rPr>
          <w:sz w:val="21"/>
        </w:rPr>
        <w:t>种</w:t>
      </w:r>
      <w:r>
        <w:rPr>
          <w:sz w:val="21"/>
        </w:rPr>
        <w:t>:</w:t>
      </w:r>
    </w:p>
    <w:p>
      <w:pPr>
        <w:jc w:val="both"/>
      </w:pPr>
      <w:r>
        <w:rPr>
          <w:sz w:val="21"/>
        </w:rPr>
        <w:t>(1) 固定价格，总价包干。</w:t>
      </w:r>
    </w:p>
    <w:p>
      <w:pPr>
        <w:jc w:val="both"/>
      </w:pPr>
      <w:r>
        <w:rPr>
          <w:sz w:val="21"/>
        </w:rPr>
        <w:t>(2) 固定价格加%包干风险系数计算。包干风险包括内容。</w:t>
      </w:r>
    </w:p>
    <w:p>
      <w:pPr>
        <w:jc w:val="both"/>
      </w:pPr>
      <w:r>
        <w:rPr>
          <w:sz w:val="21"/>
        </w:rPr>
        <w:t>(3) 工程量清单报价，综合单价包干、工程量按实结算。</w:t>
      </w:r>
    </w:p>
    <w:p>
      <w:pPr>
        <w:jc w:val="both"/>
      </w:pPr>
      <w:r>
        <w:rPr>
          <w:sz w:val="21"/>
        </w:rPr>
        <w:t>2、结算方式：</w:t>
      </w:r>
    </w:p>
    <w:p>
      <w:pPr>
        <w:ind w:firstLine="420"/>
        <w:jc w:val="both"/>
      </w:pPr>
      <w:r>
        <w:rPr>
          <w:sz w:val="21"/>
        </w:rPr>
        <w:t>2.1 本工程采用工程量清单报价，综合单价包干，工程量按实结算，绿色施工安全防护措施费</w:t>
      </w:r>
      <w:r>
        <w:rPr>
          <w:sz w:val="21"/>
        </w:rPr>
        <w:t>及预算包干费总价包干</w:t>
      </w:r>
      <w:r>
        <w:rPr>
          <w:sz w:val="21"/>
        </w:rPr>
        <w:t>，未提及的其他任何费用均不计取。如果工程结算价超过合同价，则以合同价作为结算价。</w:t>
      </w:r>
    </w:p>
    <w:p>
      <w:pPr>
        <w:ind w:firstLine="420"/>
        <w:jc w:val="both"/>
      </w:pPr>
      <w:r>
        <w:rPr>
          <w:sz w:val="21"/>
        </w:rPr>
        <w:t>2.2 合同履行期间，如遇到工程变更，乙方必须做好工程量记录，办理由甲方确认的变更单（附预算）后方可施工，本项目变更单及工作联系函均为本合同的组成部分。待完工时，以甲方签认的现场签证为依据，以实际工程量进行结算。甲方批准的增加工程、变更项目以及合同所附工程量清单中漏列的项目等视为新增项目，新增项目的结算原则如下：</w:t>
      </w:r>
    </w:p>
    <w:p>
      <w:pPr>
        <w:ind w:firstLine="420"/>
        <w:jc w:val="both"/>
      </w:pPr>
      <w:r>
        <w:rPr>
          <w:sz w:val="21"/>
        </w:rPr>
        <w:t>①工程量清单报价没有相同项目，但存在类似项目，按类似项目的综合单价对相应子目、消耗量、材料设备价格等进行调整换算。所换算材料及设备价格执行施工当期工程造价管理机构发布施工当期《广州地区建设工程常用材料税前综合价格》；施工当期《广州地区建设工程常用材料税前综合价格》没有的材料、设备单价，由甲方、监理单位（若有)、乙方结合市场价共同协商确定。若工程量清单中存在多个类似项目的，取最有利于甲方的类似项目综合单价；</w:t>
      </w:r>
    </w:p>
    <w:p>
      <w:pPr>
        <w:ind w:firstLine="420"/>
        <w:jc w:val="both"/>
      </w:pPr>
      <w:r>
        <w:rPr>
          <w:sz w:val="21"/>
        </w:rPr>
        <w:t>②合同工程量清单报价中既没有相同也没有类似项目的，采用清单计价法，执行《建设工程工程量清单计价规范 》（GB50500-2013），并按以下方式进行计算：</w:t>
      </w:r>
    </w:p>
    <w:p>
      <w:pPr>
        <w:ind w:firstLine="420"/>
        <w:jc w:val="both"/>
      </w:pPr>
      <w:r>
        <w:rPr>
          <w:sz w:val="21"/>
        </w:rPr>
        <w:t>A、定额采用《广东省房屋建筑与装饰工程综合定额（2018年）》、《广东省通用安装工程综合定额（2018年）》、《广东省市政工程综合定额（2018年）》、《广东省园林绿化工程综合定额（2018年）》，及广东省与广州市有关补充规定、补充定额和有关计费的补充文件，下浮率为成交价相对于磋商控制价的下浮率（下浮率=(磋商控制价-成交价)/磋商控制价）。如没有相应定额的子目，则由乙方报给甲方审定。定额使用与</w:t>
      </w:r>
      <w:r>
        <w:rPr>
          <w:sz w:val="21"/>
        </w:rPr>
        <w:t>响应</w:t>
      </w:r>
      <w:r>
        <w:rPr>
          <w:sz w:val="21"/>
        </w:rPr>
        <w:t>报价保持一致，施工期间发生变化不做调整。</w:t>
      </w:r>
    </w:p>
    <w:p>
      <w:pPr>
        <w:ind w:firstLine="420"/>
        <w:jc w:val="both"/>
      </w:pPr>
      <w:r>
        <w:rPr>
          <w:sz w:val="21"/>
        </w:rPr>
        <w:t>B、人工</w:t>
      </w:r>
      <w:r>
        <w:rPr>
          <w:sz w:val="21"/>
        </w:rPr>
        <w:t>单价根据</w:t>
      </w:r>
      <w:r>
        <w:rPr>
          <w:sz w:val="21"/>
        </w:rPr>
        <w:t>施工当期</w:t>
      </w:r>
      <w:r>
        <w:rPr>
          <w:sz w:val="21"/>
        </w:rPr>
        <w:t>《</w:t>
      </w:r>
      <w:r>
        <w:rPr>
          <w:sz w:val="21"/>
        </w:rPr>
        <w:t>广州市建设工程造价管理站</w:t>
      </w:r>
      <w:r>
        <w:rPr>
          <w:sz w:val="21"/>
        </w:rPr>
        <w:t>关于发布</w:t>
      </w:r>
      <w:r>
        <w:rPr>
          <w:sz w:val="21"/>
        </w:rPr>
        <w:t>20**年*月份</w:t>
      </w:r>
      <w:r>
        <w:rPr>
          <w:sz w:val="21"/>
        </w:rPr>
        <w:t>广州市建设工程价格信息及有关计价办法的通知》</w:t>
      </w:r>
      <w:r>
        <w:rPr>
          <w:sz w:val="21"/>
        </w:rPr>
        <w:t>的规定调整；材料价格执行</w:t>
      </w:r>
      <w:r>
        <w:rPr>
          <w:sz w:val="21"/>
        </w:rPr>
        <w:t>施工当期《广州地区建设工程常用材料税前综合价格》</w:t>
      </w:r>
      <w:r>
        <w:rPr>
          <w:sz w:val="21"/>
        </w:rPr>
        <w:t>，</w:t>
      </w:r>
      <w:r>
        <w:rPr>
          <w:sz w:val="21"/>
        </w:rPr>
        <w:t>信息价中</w:t>
      </w:r>
      <w:r>
        <w:rPr>
          <w:sz w:val="21"/>
        </w:rPr>
        <w:t>没有的材料价格，由甲方、监理人（若有）、乙方结合市场价共同协商确定，在甲方未回复具体的审核价前，乙方不得以任何理由作为停工或拖延施工为借口，若由此导致的工期延误，由乙方自行承担，并根据相应条款处以违约金。</w:t>
      </w:r>
    </w:p>
    <w:p>
      <w:pPr>
        <w:ind w:firstLine="420"/>
        <w:jc w:val="both"/>
      </w:pPr>
      <w:r>
        <w:rPr>
          <w:sz w:val="21"/>
        </w:rPr>
        <w:t>2.3 因甲方设计变更或采购文件、答疑会纪要中允许调整造价的工程内容，必须得到甲方的</w:t>
      </w:r>
      <w:r>
        <w:rPr>
          <w:sz w:val="21"/>
        </w:rPr>
        <w:t>书面确认或签证，由乙方按响应文件中的标价编制办法编制变更部分的预</w:t>
      </w:r>
      <w:r>
        <w:rPr>
          <w:sz w:val="21"/>
        </w:rPr>
        <w:t>(</w:t>
      </w:r>
      <w:r>
        <w:rPr>
          <w:sz w:val="21"/>
        </w:rPr>
        <w:t>结</w:t>
      </w:r>
      <w:r>
        <w:rPr>
          <w:sz w:val="21"/>
        </w:rPr>
        <w:t>)</w:t>
      </w:r>
      <w:r>
        <w:rPr>
          <w:sz w:val="21"/>
        </w:rPr>
        <w:t>算书，送甲方及有关部门审查，确定合同价款的增减，变更造价随结算款项一并支付。</w:t>
      </w:r>
    </w:p>
    <w:p>
      <w:pPr>
        <w:ind w:firstLine="420"/>
        <w:jc w:val="both"/>
      </w:pPr>
      <w:r>
        <w:rPr>
          <w:b/>
          <w:sz w:val="21"/>
        </w:rPr>
        <w:t>[本合同中施工当期指经甲方审批同意开工日期之月份]</w:t>
      </w:r>
    </w:p>
    <w:p>
      <w:pPr>
        <w:ind w:firstLine="420"/>
        <w:jc w:val="both"/>
      </w:pPr>
      <w:r>
        <w:rPr>
          <w:sz w:val="21"/>
        </w:rPr>
        <w:t>3、合同履行期间，如因甲方原因导致发生的重大变更及签证费用增加超过合同总价5%（含5%）的，变更及签证内容由甲乙双方按本合同条款约定的计价原则确定费用，并另行签订补充协议。</w:t>
      </w:r>
    </w:p>
    <w:p>
      <w:pPr>
        <w:ind w:firstLine="420"/>
        <w:jc w:val="both"/>
      </w:pPr>
      <w:r>
        <w:rPr>
          <w:sz w:val="21"/>
        </w:rPr>
        <w:t>4、合同履行期间，乙方不得随意更换响应文件中已选定品牌</w:t>
      </w:r>
      <w:r>
        <w:rPr>
          <w:sz w:val="21"/>
        </w:rPr>
        <w:t>。</w:t>
      </w:r>
      <w:r>
        <w:rPr>
          <w:sz w:val="21"/>
        </w:rPr>
        <w:t>如因</w:t>
      </w:r>
      <w:r>
        <w:rPr>
          <w:sz w:val="21"/>
        </w:rPr>
        <w:t>特殊情况需更换品牌的，必须经甲方审批同意。</w:t>
      </w:r>
    </w:p>
    <w:p>
      <w:pPr>
        <w:ind w:firstLine="420"/>
        <w:jc w:val="both"/>
      </w:pPr>
      <w:r>
        <w:rPr>
          <w:sz w:val="21"/>
        </w:rPr>
        <w:t>5、乙方</w:t>
      </w:r>
      <w:r>
        <w:rPr>
          <w:sz w:val="21"/>
        </w:rPr>
        <w:t>在签订合同之前，需向</w:t>
      </w:r>
      <w:r>
        <w:rPr>
          <w:sz w:val="21"/>
        </w:rPr>
        <w:t>甲方</w:t>
      </w:r>
      <w:r>
        <w:rPr>
          <w:sz w:val="21"/>
        </w:rPr>
        <w:t>提供</w:t>
      </w:r>
      <w:r>
        <w:rPr>
          <w:sz w:val="21"/>
        </w:rPr>
        <w:t>与</w:t>
      </w:r>
      <w:r>
        <w:rPr>
          <w:sz w:val="21"/>
        </w:rPr>
        <w:t>最终报价</w:t>
      </w:r>
      <w:r>
        <w:rPr>
          <w:sz w:val="21"/>
        </w:rPr>
        <w:t>一致的预算</w:t>
      </w:r>
      <w:r>
        <w:rPr>
          <w:sz w:val="21"/>
        </w:rPr>
        <w:t>清单。</w:t>
      </w:r>
    </w:p>
    <w:p>
      <w:pPr>
        <w:ind w:firstLine="420"/>
        <w:jc w:val="both"/>
      </w:pPr>
      <w:r>
        <w:rPr>
          <w:sz w:val="21"/>
        </w:rPr>
        <w:t>6、</w:t>
      </w:r>
      <w:r>
        <w:rPr>
          <w:sz w:val="21"/>
        </w:rPr>
        <w:t>本合同生效后，甲方可分</w:t>
      </w:r>
      <w:r>
        <w:rPr>
          <w:sz w:val="21"/>
          <w:u w:val="single"/>
        </w:rPr>
        <w:t xml:space="preserve">  </w:t>
      </w:r>
      <w:r>
        <w:rPr>
          <w:sz w:val="21"/>
          <w:u w:val="single"/>
        </w:rPr>
        <w:t>5</w:t>
      </w:r>
      <w:r>
        <w:rPr>
          <w:sz w:val="21"/>
          <w:u w:val="single"/>
        </w:rPr>
        <w:t xml:space="preserve">  </w:t>
      </w:r>
      <w:r>
        <w:rPr>
          <w:sz w:val="21"/>
        </w:rPr>
        <w:t>次，按下表约定支付工程款：</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44"/>
        <w:gridCol w:w="6547"/>
        <w:gridCol w:w="1001"/>
      </w:tblGrid>
      <w:tr>
        <w:tc>
          <w:tcPr>
            <w:tcW w:type="dxa" w:w="744"/>
            <w:tcBorders>
              <w:top w:val="single" w:color="000000" w:sz="4"/>
              <w:left w:val="single" w:color="000000" w:sz="4"/>
              <w:bottom w:val="single" w:color="000000" w:sz="4"/>
              <w:right w:val="single" w:color="000000" w:sz="4"/>
            </w:tcBorders>
            <w:vAlign w:val="top"/>
          </w:tcPr>
          <w:p>
            <w:pPr>
              <w:jc w:val="center"/>
            </w:pPr>
            <w:r>
              <w:rPr>
                <w:sz w:val="21"/>
              </w:rPr>
              <w:t>次序</w:t>
            </w:r>
          </w:p>
        </w:tc>
        <w:tc>
          <w:tcPr>
            <w:tcW w:type="dxa" w:w="6547"/>
            <w:tcBorders>
              <w:top w:val="single" w:color="000000" w:sz="4"/>
              <w:left w:val="none" w:color="000000" w:sz="4"/>
              <w:bottom w:val="single" w:color="000000" w:sz="4"/>
              <w:right w:val="single" w:color="000000" w:sz="4"/>
            </w:tcBorders>
            <w:vAlign w:val="top"/>
          </w:tcPr>
          <w:p>
            <w:pPr>
              <w:jc w:val="center"/>
            </w:pPr>
            <w:r>
              <w:rPr>
                <w:sz w:val="21"/>
              </w:rPr>
              <w:t>拨款分</w:t>
            </w:r>
            <w:r>
              <w:rPr>
                <w:sz w:val="21"/>
              </w:rPr>
              <w:t>(</w:t>
            </w:r>
            <w:r>
              <w:rPr>
                <w:sz w:val="21"/>
              </w:rPr>
              <w:t>5</w:t>
            </w:r>
            <w:r>
              <w:rPr>
                <w:sz w:val="21"/>
              </w:rPr>
              <w:t>)次进行</w:t>
            </w:r>
          </w:p>
        </w:tc>
        <w:tc>
          <w:tcPr>
            <w:tcW w:type="dxa" w:w="1001"/>
            <w:tcBorders>
              <w:top w:val="single" w:color="000000" w:sz="4"/>
              <w:left w:val="none" w:color="000000" w:sz="4"/>
              <w:bottom w:val="single" w:color="000000" w:sz="4"/>
              <w:right w:val="single" w:color="000000" w:sz="4"/>
            </w:tcBorders>
            <w:vAlign w:val="top"/>
          </w:tcPr>
          <w:p>
            <w:pPr>
              <w:jc w:val="center"/>
            </w:pPr>
            <w:r>
              <w:rPr>
                <w:sz w:val="21"/>
              </w:rPr>
              <w:t>拨款</w:t>
            </w:r>
          </w:p>
        </w:tc>
      </w:tr>
      <w:tr>
        <w:tc>
          <w:tcPr>
            <w:tcW w:type="dxa" w:w="744"/>
            <w:tcBorders>
              <w:top w:val="none" w:color="000000" w:sz="4"/>
              <w:left w:val="single" w:color="000000" w:sz="4"/>
              <w:bottom w:val="single" w:color="000000" w:sz="4"/>
              <w:right w:val="single" w:color="000000" w:sz="4"/>
            </w:tcBorders>
            <w:vAlign w:val="top"/>
          </w:tcPr>
          <w:p>
            <w:pPr>
              <w:jc w:val="center"/>
            </w:pPr>
            <w:r>
              <w:rPr>
                <w:sz w:val="21"/>
              </w:rPr>
              <w:t>1</w:t>
            </w:r>
            <w:r>
              <w:rPr>
                <w:sz w:val="21"/>
              </w:rPr>
              <w:t>-预付款</w:t>
            </w:r>
          </w:p>
        </w:tc>
        <w:tc>
          <w:tcPr>
            <w:tcW w:type="dxa" w:w="6547"/>
            <w:tcBorders>
              <w:top w:val="none" w:color="000000" w:sz="4"/>
              <w:left w:val="none" w:color="000000" w:sz="4"/>
              <w:bottom w:val="single" w:color="000000" w:sz="4"/>
              <w:right w:val="single" w:color="000000" w:sz="4"/>
            </w:tcBorders>
            <w:vAlign w:val="top"/>
          </w:tcPr>
          <w:p>
            <w:pPr>
              <w:jc w:val="both"/>
            </w:pPr>
            <w:r>
              <w:rPr>
                <w:sz w:val="21"/>
              </w:rPr>
              <w:t>合同签订后，</w:t>
            </w:r>
            <w:r>
              <w:rPr>
                <w:sz w:val="21"/>
              </w:rPr>
              <w:t>乙方</w:t>
            </w:r>
            <w:r>
              <w:rPr>
                <w:sz w:val="21"/>
              </w:rPr>
              <w:t>向</w:t>
            </w:r>
            <w:r>
              <w:rPr>
                <w:sz w:val="21"/>
              </w:rPr>
              <w:t>甲方</w:t>
            </w:r>
            <w:r>
              <w:rPr>
                <w:sz w:val="21"/>
              </w:rPr>
              <w:t>提供</w:t>
            </w:r>
            <w:r>
              <w:rPr>
                <w:sz w:val="21"/>
              </w:rPr>
              <w:t>合规的等额增值税普通发票</w:t>
            </w:r>
            <w:r>
              <w:rPr>
                <w:sz w:val="21"/>
              </w:rPr>
              <w:t>，</w:t>
            </w:r>
            <w:r>
              <w:rPr>
                <w:sz w:val="21"/>
              </w:rPr>
              <w:t>甲方</w:t>
            </w:r>
            <w:r>
              <w:rPr>
                <w:sz w:val="21"/>
              </w:rPr>
              <w:t>在收到</w:t>
            </w:r>
            <w:r>
              <w:rPr>
                <w:sz w:val="21"/>
              </w:rPr>
              <w:t>乙方</w:t>
            </w:r>
            <w:r>
              <w:rPr>
                <w:sz w:val="21"/>
              </w:rPr>
              <w:t>履约保证金后按照内部程序提交财务审批，审批通过后及时</w:t>
            </w:r>
            <w:r>
              <w:rPr>
                <w:sz w:val="21"/>
              </w:rPr>
              <w:t>支付</w:t>
            </w:r>
            <w:r>
              <w:rPr>
                <w:sz w:val="21"/>
              </w:rPr>
              <w:t>合同款项</w:t>
            </w:r>
            <w:r>
              <w:rPr>
                <w:sz w:val="21"/>
              </w:rPr>
              <w:t>，</w:t>
            </w:r>
            <w:r>
              <w:rPr>
                <w:sz w:val="21"/>
              </w:rPr>
              <w:t>支付合同价（不含暂列金）的</w:t>
            </w:r>
            <w:r>
              <w:rPr>
                <w:sz w:val="21"/>
              </w:rPr>
              <w:t>20%</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20%</w:t>
            </w:r>
          </w:p>
        </w:tc>
      </w:tr>
      <w:tr>
        <w:tc>
          <w:tcPr>
            <w:tcW w:type="dxa" w:w="744"/>
            <w:tcBorders>
              <w:top w:val="none" w:color="000000" w:sz="4"/>
              <w:left w:val="single" w:color="000000" w:sz="4"/>
              <w:bottom w:val="single" w:color="000000" w:sz="4"/>
              <w:right w:val="single" w:color="000000" w:sz="4"/>
            </w:tcBorders>
            <w:vAlign w:val="top"/>
          </w:tcPr>
          <w:p>
            <w:pPr>
              <w:jc w:val="center"/>
            </w:pPr>
            <w:r>
              <w:rPr>
                <w:sz w:val="21"/>
              </w:rPr>
              <w:t>2-进度款</w:t>
            </w:r>
          </w:p>
        </w:tc>
        <w:tc>
          <w:tcPr>
            <w:tcW w:type="dxa" w:w="6547"/>
            <w:tcBorders>
              <w:top w:val="none" w:color="000000" w:sz="4"/>
              <w:left w:val="none" w:color="000000" w:sz="4"/>
              <w:bottom w:val="single" w:color="000000" w:sz="4"/>
              <w:right w:val="single" w:color="000000" w:sz="4"/>
            </w:tcBorders>
            <w:vAlign w:val="top"/>
          </w:tcPr>
          <w:p>
            <w:pPr>
              <w:jc w:val="both"/>
            </w:pPr>
            <w:r>
              <w:rPr>
                <w:sz w:val="21"/>
              </w:rPr>
              <w:t>完成红线外管廊施工、箱式高压及预装箱式变电站现场就位后，乙方向</w:t>
            </w:r>
            <w:r>
              <w:rPr>
                <w:sz w:val="21"/>
              </w:rPr>
              <w:t>甲方</w:t>
            </w:r>
            <w:r>
              <w:rPr>
                <w:sz w:val="21"/>
              </w:rPr>
              <w:t>提供合规的等额增值税普通发票，</w:t>
            </w:r>
            <w:r>
              <w:rPr>
                <w:sz w:val="21"/>
              </w:rPr>
              <w:t>甲方</w:t>
            </w:r>
            <w:r>
              <w:rPr>
                <w:sz w:val="21"/>
              </w:rPr>
              <w:t>按照内部程序提交财务审批，审批通过后及时支付合同款项，支付至累计合同价（不含暂列金）的</w:t>
            </w:r>
            <w:r>
              <w:rPr>
                <w:sz w:val="21"/>
              </w:rPr>
              <w:t>50%</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30%</w:t>
            </w:r>
          </w:p>
        </w:tc>
      </w:tr>
      <w:tr>
        <w:tc>
          <w:tcPr>
            <w:tcW w:type="dxa" w:w="744"/>
            <w:tcBorders>
              <w:top w:val="none" w:color="000000" w:sz="4"/>
              <w:left w:val="single" w:color="000000" w:sz="4"/>
              <w:bottom w:val="single" w:color="000000" w:sz="4"/>
              <w:right w:val="single" w:color="000000" w:sz="4"/>
            </w:tcBorders>
            <w:vAlign w:val="top"/>
          </w:tcPr>
          <w:p>
            <w:pPr>
              <w:jc w:val="center"/>
            </w:pPr>
            <w:r>
              <w:rPr>
                <w:sz w:val="21"/>
              </w:rPr>
              <w:t>3-竣工款</w:t>
            </w:r>
          </w:p>
        </w:tc>
        <w:tc>
          <w:tcPr>
            <w:tcW w:type="dxa" w:w="6547"/>
            <w:tcBorders>
              <w:top w:val="none" w:color="000000" w:sz="4"/>
              <w:left w:val="none" w:color="000000" w:sz="4"/>
              <w:bottom w:val="single" w:color="000000" w:sz="4"/>
              <w:right w:val="single" w:color="000000" w:sz="4"/>
            </w:tcBorders>
            <w:vAlign w:val="top"/>
          </w:tcPr>
          <w:p>
            <w:pPr>
              <w:jc w:val="both"/>
            </w:pPr>
            <w:r>
              <w:rPr>
                <w:sz w:val="21"/>
              </w:rPr>
              <w:t>工程</w:t>
            </w:r>
            <w:r>
              <w:rPr>
                <w:sz w:val="21"/>
              </w:rPr>
              <w:t>竣工验收合格后</w:t>
            </w:r>
            <w:r>
              <w:rPr>
                <w:sz w:val="21"/>
              </w:rPr>
              <w:t>，</w:t>
            </w:r>
            <w:r>
              <w:rPr>
                <w:sz w:val="21"/>
              </w:rPr>
              <w:t>乙方</w:t>
            </w:r>
            <w:r>
              <w:rPr>
                <w:sz w:val="21"/>
              </w:rPr>
              <w:t>向</w:t>
            </w:r>
            <w:r>
              <w:rPr>
                <w:sz w:val="21"/>
              </w:rPr>
              <w:t>甲方</w:t>
            </w:r>
            <w:r>
              <w:rPr>
                <w:sz w:val="21"/>
              </w:rPr>
              <w:t>提供</w:t>
            </w:r>
            <w:r>
              <w:rPr>
                <w:sz w:val="21"/>
              </w:rPr>
              <w:t>合规的等额增值税普通发票</w:t>
            </w:r>
            <w:r>
              <w:rPr>
                <w:sz w:val="21"/>
              </w:rPr>
              <w:t>，</w:t>
            </w:r>
            <w:r>
              <w:rPr>
                <w:sz w:val="21"/>
              </w:rPr>
              <w:t>甲方</w:t>
            </w:r>
            <w:r>
              <w:rPr>
                <w:sz w:val="21"/>
              </w:rPr>
              <w:t>按照内部程序提交财务审批，审批通过后及时</w:t>
            </w:r>
            <w:r>
              <w:rPr>
                <w:sz w:val="21"/>
              </w:rPr>
              <w:t>支付</w:t>
            </w:r>
            <w:r>
              <w:rPr>
                <w:sz w:val="21"/>
              </w:rPr>
              <w:t>合同款项</w:t>
            </w:r>
            <w:r>
              <w:rPr>
                <w:sz w:val="21"/>
              </w:rPr>
              <w:t>，</w:t>
            </w:r>
            <w:r>
              <w:rPr>
                <w:sz w:val="21"/>
              </w:rPr>
              <w:t>支付</w:t>
            </w:r>
            <w:r>
              <w:rPr>
                <w:sz w:val="21"/>
              </w:rPr>
              <w:t>至累计合同价（不含暂列金）</w:t>
            </w:r>
            <w:r>
              <w:rPr>
                <w:sz w:val="21"/>
              </w:rPr>
              <w:t>的</w:t>
            </w:r>
            <w:r>
              <w:rPr>
                <w:sz w:val="21"/>
              </w:rPr>
              <w:t>85%</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35%</w:t>
            </w:r>
          </w:p>
        </w:tc>
      </w:tr>
      <w:tr>
        <w:tc>
          <w:tcPr>
            <w:tcW w:type="dxa" w:w="744"/>
            <w:tcBorders>
              <w:top w:val="none" w:color="000000" w:sz="4"/>
              <w:left w:val="single" w:color="000000" w:sz="4"/>
              <w:bottom w:val="single" w:color="000000" w:sz="4"/>
              <w:right w:val="single" w:color="000000" w:sz="4"/>
            </w:tcBorders>
            <w:vAlign w:val="top"/>
          </w:tcPr>
          <w:p>
            <w:pPr>
              <w:jc w:val="center"/>
            </w:pPr>
            <w:r>
              <w:rPr>
                <w:sz w:val="21"/>
              </w:rPr>
              <w:t>4-结算款</w:t>
            </w:r>
          </w:p>
        </w:tc>
        <w:tc>
          <w:tcPr>
            <w:tcW w:type="dxa" w:w="6547"/>
            <w:tcBorders>
              <w:top w:val="none" w:color="000000" w:sz="4"/>
              <w:left w:val="none" w:color="000000" w:sz="4"/>
              <w:bottom w:val="single" w:color="000000" w:sz="4"/>
              <w:right w:val="single" w:color="000000" w:sz="4"/>
            </w:tcBorders>
            <w:vAlign w:val="top"/>
          </w:tcPr>
          <w:p>
            <w:pPr>
              <w:jc w:val="both"/>
            </w:pPr>
            <w:r>
              <w:rPr>
                <w:sz w:val="21"/>
              </w:rPr>
              <w:t>工程结算审定后，</w:t>
            </w:r>
            <w:r>
              <w:rPr>
                <w:sz w:val="21"/>
              </w:rPr>
              <w:t>乙方</w:t>
            </w:r>
            <w:r>
              <w:rPr>
                <w:sz w:val="21"/>
              </w:rPr>
              <w:t>向</w:t>
            </w:r>
            <w:r>
              <w:rPr>
                <w:sz w:val="21"/>
              </w:rPr>
              <w:t>甲方</w:t>
            </w:r>
            <w:r>
              <w:rPr>
                <w:sz w:val="21"/>
              </w:rPr>
              <w:t>提供剩余结算金额</w:t>
            </w:r>
            <w:r>
              <w:rPr>
                <w:sz w:val="21"/>
              </w:rPr>
              <w:t>100%的</w:t>
            </w:r>
            <w:r>
              <w:rPr>
                <w:sz w:val="21"/>
              </w:rPr>
              <w:t>合规增值税普通发票</w:t>
            </w:r>
            <w:r>
              <w:rPr>
                <w:sz w:val="21"/>
              </w:rPr>
              <w:t>，</w:t>
            </w:r>
            <w:r>
              <w:rPr>
                <w:sz w:val="21"/>
              </w:rPr>
              <w:t>甲方</w:t>
            </w:r>
            <w:r>
              <w:rPr>
                <w:sz w:val="21"/>
              </w:rPr>
              <w:t>按照内部程序提交财务审批，审批通过后及时</w:t>
            </w:r>
            <w:r>
              <w:rPr>
                <w:sz w:val="21"/>
              </w:rPr>
              <w:t>支付</w:t>
            </w:r>
            <w:r>
              <w:rPr>
                <w:sz w:val="21"/>
              </w:rPr>
              <w:t>合同款项</w:t>
            </w:r>
            <w:r>
              <w:rPr>
                <w:sz w:val="21"/>
              </w:rPr>
              <w:t>，</w:t>
            </w:r>
            <w:r>
              <w:rPr>
                <w:sz w:val="21"/>
              </w:rPr>
              <w:t>累计支付至结算价的</w:t>
            </w:r>
            <w:r>
              <w:rPr>
                <w:sz w:val="21"/>
              </w:rPr>
              <w:t>97%</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12</w:t>
            </w:r>
            <w:r>
              <w:rPr>
                <w:sz w:val="21"/>
              </w:rPr>
              <w:t>%</w:t>
            </w:r>
          </w:p>
        </w:tc>
      </w:tr>
      <w:tr>
        <w:tc>
          <w:tcPr>
            <w:tcW w:type="dxa" w:w="744"/>
            <w:tcBorders>
              <w:top w:val="none" w:color="000000" w:sz="4"/>
              <w:left w:val="single" w:color="000000" w:sz="4"/>
              <w:bottom w:val="single" w:color="000000" w:sz="4"/>
              <w:right w:val="single" w:color="000000" w:sz="4"/>
            </w:tcBorders>
            <w:vAlign w:val="top"/>
          </w:tcPr>
          <w:p>
            <w:pPr>
              <w:jc w:val="center"/>
            </w:pPr>
            <w:r>
              <w:rPr>
                <w:sz w:val="21"/>
              </w:rPr>
              <w:t>5-质保金</w:t>
            </w:r>
          </w:p>
        </w:tc>
        <w:tc>
          <w:tcPr>
            <w:tcW w:type="dxa" w:w="6547"/>
            <w:tcBorders>
              <w:top w:val="none" w:color="000000" w:sz="4"/>
              <w:left w:val="none" w:color="000000" w:sz="4"/>
              <w:bottom w:val="single" w:color="000000" w:sz="4"/>
              <w:right w:val="single" w:color="000000" w:sz="4"/>
            </w:tcBorders>
            <w:vAlign w:val="top"/>
          </w:tcPr>
          <w:p>
            <w:pPr>
              <w:jc w:val="both"/>
            </w:pPr>
            <w:r>
              <w:rPr>
                <w:sz w:val="21"/>
              </w:rPr>
              <w:t>工程验收合格之日起满</w:t>
            </w:r>
            <w:r>
              <w:rPr>
                <w:sz w:val="21"/>
              </w:rPr>
              <w:t>2年后</w:t>
            </w:r>
            <w:r>
              <w:rPr>
                <w:sz w:val="21"/>
              </w:rPr>
              <w:t>乙方</w:t>
            </w:r>
            <w:r>
              <w:rPr>
                <w:sz w:val="21"/>
              </w:rPr>
              <w:t>向</w:t>
            </w:r>
            <w:r>
              <w:rPr>
                <w:sz w:val="21"/>
              </w:rPr>
              <w:t>甲方</w:t>
            </w:r>
            <w:r>
              <w:rPr>
                <w:sz w:val="21"/>
              </w:rPr>
              <w:t>提供付款申请，扣除应扣除违约金及其他应扣款项（如有）</w:t>
            </w:r>
            <w:r>
              <w:rPr>
                <w:sz w:val="21"/>
              </w:rPr>
              <w:t>后，甲方</w:t>
            </w:r>
            <w:r>
              <w:rPr>
                <w:sz w:val="21"/>
              </w:rPr>
              <w:t>按照内部程序提交财务审批，审批通过后及时</w:t>
            </w:r>
            <w:r>
              <w:rPr>
                <w:sz w:val="21"/>
              </w:rPr>
              <w:t>支付</w:t>
            </w:r>
            <w:r>
              <w:rPr>
                <w:sz w:val="21"/>
              </w:rPr>
              <w:t>质保金</w:t>
            </w:r>
          </w:p>
        </w:tc>
        <w:tc>
          <w:tcPr>
            <w:tcW w:type="dxa" w:w="1001"/>
            <w:tcBorders>
              <w:top w:val="none" w:color="000000" w:sz="4"/>
              <w:left w:val="none" w:color="000000" w:sz="4"/>
              <w:bottom w:val="single" w:color="000000" w:sz="4"/>
              <w:right w:val="single" w:color="000000" w:sz="4"/>
            </w:tcBorders>
            <w:vAlign w:val="top"/>
          </w:tcPr>
          <w:p>
            <w:pPr>
              <w:jc w:val="center"/>
            </w:pPr>
            <w:r>
              <w:rPr>
                <w:sz w:val="21"/>
              </w:rPr>
              <w:t>3</w:t>
            </w:r>
            <w:r>
              <w:rPr>
                <w:sz w:val="21"/>
              </w:rPr>
              <w:t>%</w:t>
            </w:r>
          </w:p>
        </w:tc>
      </w:tr>
    </w:tbl>
    <w:p>
      <w:pPr>
        <w:ind w:firstLine="420"/>
        <w:jc w:val="both"/>
      </w:pPr>
      <w:r>
        <w:rPr>
          <w:sz w:val="21"/>
        </w:rPr>
        <w:t>结算款需经甲方内部审计部门审定结算后付款。当结算审定时，结算价即合同价。</w:t>
      </w:r>
    </w:p>
    <w:p>
      <w:pPr>
        <w:ind w:firstLine="420"/>
        <w:jc w:val="both"/>
      </w:pPr>
      <w:r>
        <w:rPr>
          <w:sz w:val="21"/>
        </w:rPr>
        <w:t>7、工程竣工验收后，乙方提出工程结算并将竣工图、结算文件等有关资料送交甲方。乙方应确保送交给甲方的竣工图等有关资料不得侵犯任何第三方的所有权及知识产权等合法权益。甲方享有竣工图等有关资料的所有权及知识产权，未经甲方</w:t>
      </w:r>
      <w:r>
        <w:rPr>
          <w:sz w:val="21"/>
        </w:rPr>
        <w:t>书面同意，乙方不得擅自使用、转让或泄露给</w:t>
      </w:r>
      <w:r>
        <w:rPr>
          <w:sz w:val="21"/>
        </w:rPr>
        <w:t>任何第三方，否则乙方应赔偿甲方由此遭受的损失并承担违约责任。</w:t>
      </w:r>
    </w:p>
    <w:p>
      <w:pPr>
        <w:ind w:firstLine="420"/>
        <w:jc w:val="both"/>
      </w:pPr>
      <w:r>
        <w:rPr>
          <w:sz w:val="21"/>
        </w:rPr>
        <w:t>8、履约保证金</w:t>
      </w:r>
    </w:p>
    <w:p>
      <w:pPr>
        <w:ind w:firstLine="420"/>
        <w:jc w:val="both"/>
      </w:pPr>
      <w:r>
        <w:rPr>
          <w:sz w:val="21"/>
        </w:rPr>
        <w:t>（</w:t>
      </w:r>
      <w:r>
        <w:rPr>
          <w:sz w:val="21"/>
        </w:rPr>
        <w:t>1）提交时间：合同签订之日起5日内；</w:t>
      </w:r>
    </w:p>
    <w:p>
      <w:pPr>
        <w:ind w:firstLine="420"/>
        <w:jc w:val="both"/>
      </w:pPr>
      <w:r>
        <w:rPr>
          <w:sz w:val="21"/>
        </w:rPr>
        <w:t>（</w:t>
      </w:r>
      <w:r>
        <w:rPr>
          <w:sz w:val="21"/>
        </w:rPr>
        <w:t>2）金额：合同总金额（不含暂列金）的5 %；甲方在收到履约保证金后向乙方出具履约保证金收款凭据</w:t>
      </w:r>
      <w:r>
        <w:rPr>
          <w:sz w:val="21"/>
        </w:rPr>
        <w:t>（如乙方提供见索即付的</w:t>
      </w:r>
      <w:r>
        <w:rPr>
          <w:sz w:val="21"/>
        </w:rPr>
        <w:t>银行履约保函，则</w:t>
      </w:r>
      <w:r>
        <w:rPr>
          <w:sz w:val="21"/>
        </w:rPr>
        <w:t>甲方</w:t>
      </w:r>
      <w:r>
        <w:rPr>
          <w:sz w:val="21"/>
        </w:rPr>
        <w:t>不开具收款凭据</w:t>
      </w:r>
      <w:r>
        <w:rPr>
          <w:sz w:val="21"/>
        </w:rPr>
        <w:t>）</w:t>
      </w:r>
      <w:r>
        <w:rPr>
          <w:sz w:val="21"/>
        </w:rPr>
        <w:t>。若乙方未按期向甲方缴纳履约保证金，</w:t>
      </w:r>
      <w:r>
        <w:rPr>
          <w:sz w:val="21"/>
        </w:rPr>
        <w:t>又未提供见索即付的</w:t>
      </w:r>
      <w:r>
        <w:rPr>
          <w:sz w:val="21"/>
        </w:rPr>
        <w:t>银行履约保函的，甲方有权从</w:t>
      </w:r>
      <w:r>
        <w:rPr>
          <w:sz w:val="21"/>
        </w:rPr>
        <w:t>首期工程款</w:t>
      </w:r>
      <w:r>
        <w:rPr>
          <w:sz w:val="21"/>
        </w:rPr>
        <w:t>中扣除相应金额的款项；</w:t>
      </w:r>
    </w:p>
    <w:p>
      <w:pPr>
        <w:ind w:firstLine="420"/>
        <w:jc w:val="both"/>
      </w:pPr>
      <w:r>
        <w:rPr>
          <w:sz w:val="21"/>
        </w:rPr>
        <w:t>（</w:t>
      </w:r>
      <w:r>
        <w:rPr>
          <w:sz w:val="21"/>
        </w:rPr>
        <w:t>3）方式：转账、见索即付的银行履约保函；</w:t>
      </w:r>
    </w:p>
    <w:p>
      <w:pPr>
        <w:ind w:firstLine="420"/>
        <w:jc w:val="both"/>
      </w:pPr>
      <w:r>
        <w:rPr>
          <w:sz w:val="21"/>
        </w:rPr>
        <w:t>（</w:t>
      </w:r>
      <w:r>
        <w:rPr>
          <w:sz w:val="21"/>
        </w:rPr>
        <w:t>4）退还说明：在本工程竣工验收合格后、</w:t>
      </w:r>
      <w:r>
        <w:rPr>
          <w:sz w:val="21"/>
        </w:rPr>
        <w:t>收到乙方提出退还履约保证金申请的次月底内，甲方将扣除乙方违约金及其它应扣款项（如有）后的剩余款项无息退还乙方。</w:t>
      </w:r>
    </w:p>
    <w:p>
      <w:pPr>
        <w:ind w:firstLine="422"/>
        <w:jc w:val="both"/>
      </w:pPr>
      <w:r>
        <w:rPr>
          <w:b/>
          <w:sz w:val="21"/>
        </w:rPr>
        <w:t>第六条</w:t>
      </w:r>
      <w:r>
        <w:rPr>
          <w:b/>
          <w:sz w:val="21"/>
        </w:rPr>
        <w:t xml:space="preserve"> </w:t>
      </w:r>
      <w:r>
        <w:rPr>
          <w:b/>
          <w:sz w:val="21"/>
        </w:rPr>
        <w:t>关于质量保证及售后服务</w:t>
      </w:r>
    </w:p>
    <w:p>
      <w:pPr>
        <w:ind w:firstLine="420"/>
        <w:jc w:val="both"/>
      </w:pPr>
      <w:r>
        <w:rPr>
          <w:sz w:val="21"/>
        </w:rPr>
        <w:t>1.</w:t>
      </w:r>
      <w:r>
        <w:rPr>
          <w:sz w:val="21"/>
        </w:rPr>
        <w:t>质保金金额：</w:t>
      </w:r>
      <w:r>
        <w:rPr>
          <w:sz w:val="21"/>
        </w:rPr>
        <w:t>工程结算价</w:t>
      </w:r>
      <w:r>
        <w:rPr>
          <w:sz w:val="21"/>
        </w:rPr>
        <w:t>的</w:t>
      </w:r>
      <w:r>
        <w:rPr>
          <w:sz w:val="21"/>
        </w:rPr>
        <w:t>3%。</w:t>
      </w:r>
    </w:p>
    <w:p>
      <w:pPr>
        <w:ind w:firstLine="420"/>
        <w:jc w:val="both"/>
      </w:pPr>
      <w:r>
        <w:rPr>
          <w:sz w:val="21"/>
        </w:rPr>
        <w:t>2.</w:t>
      </w:r>
      <w:r>
        <w:rPr>
          <w:sz w:val="21"/>
        </w:rPr>
        <w:t>质保期：</w:t>
      </w:r>
      <w:r>
        <w:rPr>
          <w:sz w:val="21"/>
        </w:rPr>
        <w:t>2年。</w:t>
      </w:r>
    </w:p>
    <w:p>
      <w:pPr>
        <w:ind w:firstLine="420"/>
        <w:jc w:val="both"/>
      </w:pPr>
      <w:r>
        <w:rPr>
          <w:sz w:val="21"/>
        </w:rPr>
        <w:t>3.</w:t>
      </w:r>
      <w:r>
        <w:rPr>
          <w:sz w:val="21"/>
        </w:rPr>
        <w:t>质保期开始日期：经甲乙双方验收合格之日起。</w:t>
      </w:r>
    </w:p>
    <w:p>
      <w:pPr>
        <w:ind w:firstLine="420"/>
        <w:jc w:val="both"/>
      </w:pPr>
      <w:r>
        <w:rPr>
          <w:sz w:val="21"/>
        </w:rPr>
        <w:t>4.</w:t>
      </w:r>
      <w:r>
        <w:rPr>
          <w:sz w:val="21"/>
        </w:rPr>
        <w:t>质保期内</w:t>
      </w:r>
      <w:r>
        <w:rPr>
          <w:sz w:val="21"/>
        </w:rPr>
        <w:t>工程</w:t>
      </w:r>
      <w:r>
        <w:rPr>
          <w:sz w:val="21"/>
        </w:rPr>
        <w:t>出现的问题，由乙方负责维修或更换（人为原因或自然灾害等不可抗力情况除外）。质保期满后，如甲方要求，乙方应按其同类项目的最优惠价格提供维修服务。</w:t>
      </w:r>
    </w:p>
    <w:p>
      <w:pPr>
        <w:ind w:firstLine="420"/>
        <w:jc w:val="both"/>
      </w:pPr>
      <w:r>
        <w:rPr>
          <w:sz w:val="21"/>
        </w:rPr>
        <w:t>5.</w:t>
      </w:r>
      <w:r>
        <w:rPr>
          <w:sz w:val="21"/>
        </w:rPr>
        <w:t>保修服务方式均为乙方上门保修，即由乙方派员到甲方现场维修，由此产生的一切费用已含在合同总价内。</w:t>
      </w:r>
    </w:p>
    <w:p>
      <w:pPr>
        <w:ind w:firstLine="420"/>
        <w:jc w:val="both"/>
      </w:pPr>
      <w:r>
        <w:rPr>
          <w:sz w:val="21"/>
        </w:rPr>
        <w:t>6.</w:t>
      </w:r>
      <w:r>
        <w:rPr>
          <w:sz w:val="21"/>
        </w:rPr>
        <w:t>服务响应时间：乙方在接到甲方通知后</w:t>
      </w:r>
      <w:r>
        <w:rPr>
          <w:sz w:val="21"/>
          <w:u w:val="single"/>
        </w:rPr>
        <w:t xml:space="preserve">    </w:t>
      </w:r>
      <w:r>
        <w:rPr>
          <w:sz w:val="21"/>
        </w:rPr>
        <w:t>小时内到达现场查看，</w:t>
      </w:r>
      <w:r>
        <w:rPr>
          <w:sz w:val="21"/>
        </w:rPr>
        <w:t>8小时内解决问题。属厂商保修的，应负责联系厂商，要求在48小时内维修完毕。如需更换或者送修设备，乙方免费提供同档次的设备予甲方临时使用，并在7个工作日内负责解决。</w:t>
      </w:r>
    </w:p>
    <w:p>
      <w:pPr>
        <w:ind w:firstLine="420"/>
        <w:jc w:val="both"/>
      </w:pPr>
      <w:r>
        <w:rPr>
          <w:sz w:val="21"/>
        </w:rPr>
        <w:t>7.</w:t>
      </w:r>
      <w:r>
        <w:rPr>
          <w:sz w:val="21"/>
        </w:rPr>
        <w:t>质保期</w:t>
      </w:r>
      <w:r>
        <w:rPr>
          <w:sz w:val="21"/>
        </w:rPr>
        <w:t>内因施工质量而造成的返修，乙方负责返修并承担相应的费用；乙方拒绝返修，甲方除保留追究权利以外，还有权另请第三方维修，产生的所有费用由乙方承担，且</w:t>
      </w:r>
      <w:r>
        <w:rPr>
          <w:sz w:val="21"/>
        </w:rPr>
        <w:t>甲方</w:t>
      </w:r>
      <w:r>
        <w:rPr>
          <w:sz w:val="21"/>
        </w:rPr>
        <w:t>有权从质保金中扣除相应款项，不足部分由乙方在三天内补足。</w:t>
      </w:r>
    </w:p>
    <w:p>
      <w:pPr>
        <w:ind w:firstLine="422"/>
        <w:jc w:val="both"/>
      </w:pPr>
      <w:r>
        <w:rPr>
          <w:b/>
          <w:sz w:val="21"/>
        </w:rPr>
        <w:t>第七条</w:t>
      </w:r>
      <w:r>
        <w:rPr>
          <w:b/>
          <w:sz w:val="21"/>
        </w:rPr>
        <w:t>违约责任</w:t>
      </w:r>
    </w:p>
    <w:p>
      <w:pPr>
        <w:ind w:firstLine="420"/>
        <w:jc w:val="both"/>
      </w:pPr>
      <w:r>
        <w:rPr>
          <w:sz w:val="21"/>
        </w:rPr>
        <w:t>1.</w:t>
      </w:r>
      <w:r>
        <w:rPr>
          <w:sz w:val="21"/>
        </w:rPr>
        <w:t>因甲方未按约定完成工作，影响工期，工期顺延。</w:t>
      </w:r>
    </w:p>
    <w:p>
      <w:pPr>
        <w:ind w:firstLine="420"/>
        <w:jc w:val="both"/>
      </w:pPr>
      <w:r>
        <w:rPr>
          <w:sz w:val="21"/>
        </w:rPr>
        <w:t>1.</w:t>
      </w:r>
      <w:r>
        <w:rPr>
          <w:sz w:val="21"/>
        </w:rPr>
        <w:t>1</w:t>
      </w:r>
      <w:r>
        <w:rPr>
          <w:sz w:val="21"/>
        </w:rPr>
        <w:t>不可抗因素</w:t>
      </w:r>
      <w:r>
        <w:rPr>
          <w:sz w:val="21"/>
        </w:rPr>
        <w:t>。</w:t>
      </w:r>
    </w:p>
    <w:p>
      <w:pPr>
        <w:ind w:firstLine="420"/>
        <w:jc w:val="both"/>
      </w:pPr>
      <w:r>
        <w:rPr>
          <w:sz w:val="21"/>
        </w:rPr>
        <w:t>1.</w:t>
      </w:r>
      <w:r>
        <w:rPr>
          <w:sz w:val="21"/>
        </w:rPr>
        <w:t>2</w:t>
      </w:r>
      <w:r>
        <w:rPr>
          <w:sz w:val="21"/>
        </w:rPr>
        <w:t>由于设计变更，致使</w:t>
      </w:r>
      <w:r>
        <w:rPr>
          <w:sz w:val="21"/>
        </w:rPr>
        <w:t>单项工程</w:t>
      </w:r>
      <w:r>
        <w:rPr>
          <w:sz w:val="21"/>
        </w:rPr>
        <w:t>重大增加</w:t>
      </w:r>
      <w:r>
        <w:rPr>
          <w:sz w:val="21"/>
        </w:rPr>
        <w:t>(超过总量的10%)</w:t>
      </w:r>
      <w:r>
        <w:rPr>
          <w:sz w:val="21"/>
        </w:rPr>
        <w:t>。</w:t>
      </w:r>
    </w:p>
    <w:p>
      <w:pPr>
        <w:ind w:firstLine="420"/>
        <w:jc w:val="both"/>
      </w:pPr>
      <w:r>
        <w:rPr>
          <w:sz w:val="21"/>
        </w:rPr>
        <w:t>1.</w:t>
      </w:r>
      <w:r>
        <w:rPr>
          <w:sz w:val="21"/>
        </w:rPr>
        <w:t>3</w:t>
      </w:r>
      <w:r>
        <w:rPr>
          <w:sz w:val="21"/>
        </w:rPr>
        <w:t>因设计变更或非乙方原因造成的停电、停水、停气及不可抗力因素影响，导致停工</w:t>
      </w:r>
      <w:r>
        <w:rPr>
          <w:sz w:val="21"/>
        </w:rPr>
        <w:t>8小时以上（一周内累计计算），由乙方在事发后24小时内出具工作联系函告知甲方，并提供足够证据予以证实，经甲方书面同意，工期可相应顺延。</w:t>
      </w:r>
    </w:p>
    <w:p>
      <w:pPr>
        <w:ind w:firstLine="420"/>
        <w:jc w:val="both"/>
      </w:pPr>
      <w:r>
        <w:rPr>
          <w:sz w:val="21"/>
        </w:rPr>
        <w:t>2.</w:t>
      </w:r>
      <w:r>
        <w:rPr>
          <w:sz w:val="21"/>
        </w:rPr>
        <w:t>由于乙方原因，工程逾期</w:t>
      </w:r>
      <w:r>
        <w:rPr>
          <w:sz w:val="21"/>
        </w:rPr>
        <w:t>竣</w:t>
      </w:r>
      <w:r>
        <w:rPr>
          <w:sz w:val="21"/>
        </w:rPr>
        <w:t>工，每逾期一天，乙方支付甲方合同价款的</w:t>
      </w:r>
      <w:r>
        <w:rPr>
          <w:sz w:val="21"/>
        </w:rPr>
        <w:t>1‰作为违约金,由乙方采取合理措施赶工，产生的费用由乙方自行承担。整体工期逾期超过10日，甲方有权单方解除合同，另行发包给第三方，乙方应当按照甲方的要求进行交接并有序撤场，且甲方有权继续追索乙方合同金额的5%作为违约金，并由乙方承担由此造成的甲方损失。</w:t>
      </w:r>
    </w:p>
    <w:p>
      <w:pPr>
        <w:ind w:firstLine="420"/>
        <w:jc w:val="both"/>
      </w:pPr>
      <w:r>
        <w:rPr>
          <w:sz w:val="21"/>
        </w:rPr>
        <w:t>3.</w:t>
      </w:r>
      <w:r>
        <w:rPr>
          <w:sz w:val="21"/>
        </w:rPr>
        <w:t>乙方应妥善保护甲方提供的设备及现场堆放的家具、陈设和工程成品，如造成损失，应照价赔偿。</w:t>
      </w:r>
    </w:p>
    <w:p>
      <w:pPr>
        <w:ind w:firstLine="420"/>
        <w:jc w:val="both"/>
      </w:pPr>
      <w:r>
        <w:rPr>
          <w:sz w:val="21"/>
        </w:rPr>
        <w:t>4.</w:t>
      </w:r>
      <w:r>
        <w:rPr>
          <w:sz w:val="21"/>
        </w:rPr>
        <w:t>未经甲方书面同意，乙方擅自拆改原建筑物结构或设备管线，由此发生的损失或事故（包括罚款），由乙方自行负责并承担损失。</w:t>
      </w:r>
    </w:p>
    <w:p>
      <w:pPr>
        <w:ind w:firstLine="420"/>
        <w:jc w:val="both"/>
      </w:pPr>
      <w:r>
        <w:rPr>
          <w:sz w:val="21"/>
        </w:rPr>
        <w:t>5.</w:t>
      </w:r>
      <w:r>
        <w:rPr>
          <w:sz w:val="21"/>
        </w:rPr>
        <w:t>乙方未按施工图纸及其规定的设计标准进行施工，或擅自变更施工图纸的要求，应当支付甲方合同价款的</w:t>
      </w:r>
      <w:r>
        <w:rPr>
          <w:sz w:val="21"/>
        </w:rPr>
        <w:t>10%作为违约金，立即按照施工图纸返工，直至符合施工图纸及其规定的设计标准，因此产生的费用由乙方自行承担，且工期不予顺延。甲方可视情况</w:t>
      </w:r>
      <w:r>
        <w:rPr>
          <w:sz w:val="21"/>
        </w:rPr>
        <w:t>单方</w:t>
      </w:r>
      <w:r>
        <w:rPr>
          <w:sz w:val="21"/>
        </w:rPr>
        <w:t>解除合同，并要求乙方赔偿由此造成的甲方损失。</w:t>
      </w:r>
    </w:p>
    <w:p>
      <w:pPr>
        <w:ind w:firstLine="420"/>
        <w:jc w:val="both"/>
      </w:pPr>
      <w:r>
        <w:rPr>
          <w:sz w:val="21"/>
        </w:rPr>
        <w:t>6.</w:t>
      </w:r>
      <w:r>
        <w:rPr>
          <w:sz w:val="21"/>
        </w:rPr>
        <w:t>无论合同因何种原因解除，乙方均应与甲方另行委托的第三方妥善交接，并按照甲方要求将人员和属于乙方自有的设备、材料撤场。否则，乙方应当向甲方支付合同总价款的</w:t>
      </w:r>
      <w:r>
        <w:rPr>
          <w:sz w:val="21"/>
        </w:rPr>
        <w:t>10%作为违约金，</w:t>
      </w:r>
      <w:r>
        <w:rPr>
          <w:sz w:val="21"/>
        </w:rPr>
        <w:t>承担</w:t>
      </w:r>
      <w:r>
        <w:rPr>
          <w:sz w:val="21"/>
        </w:rPr>
        <w:t>并赔偿</w:t>
      </w:r>
      <w:r>
        <w:rPr>
          <w:sz w:val="21"/>
        </w:rPr>
        <w:t>因</w:t>
      </w:r>
      <w:r>
        <w:rPr>
          <w:sz w:val="21"/>
        </w:rPr>
        <w:t>逾期交接和撤场</w:t>
      </w:r>
      <w:r>
        <w:rPr>
          <w:sz w:val="21"/>
        </w:rPr>
        <w:t>给甲方造成的</w:t>
      </w:r>
      <w:r>
        <w:rPr>
          <w:sz w:val="21"/>
        </w:rPr>
        <w:t>损失。</w:t>
      </w:r>
    </w:p>
    <w:p>
      <w:pPr>
        <w:ind w:firstLine="420"/>
        <w:jc w:val="both"/>
      </w:pPr>
      <w:r>
        <w:rPr>
          <w:sz w:val="21"/>
        </w:rPr>
        <w:t>7.</w:t>
      </w:r>
      <w:r>
        <w:rPr>
          <w:sz w:val="21"/>
        </w:rPr>
        <w:t>甲方有权从未支付的合同价款中直接扣除乙方应当支付的违约金、赔偿金等</w:t>
      </w:r>
      <w:r>
        <w:rPr>
          <w:sz w:val="21"/>
        </w:rPr>
        <w:t>，不足部分甲方有权向乙方追索</w:t>
      </w:r>
      <w:r>
        <w:rPr>
          <w:sz w:val="21"/>
        </w:rPr>
        <w:t>。</w:t>
      </w:r>
    </w:p>
    <w:p>
      <w:pPr>
        <w:ind w:firstLine="420"/>
        <w:jc w:val="both"/>
      </w:pPr>
      <w:r>
        <w:rPr>
          <w:sz w:val="21"/>
        </w:rPr>
        <w:t>8.</w:t>
      </w:r>
      <w:r>
        <w:rPr>
          <w:sz w:val="21"/>
        </w:rPr>
        <w:t>乙方不得将合同转包给第三方，若乙方擅自转包的，甲方有权单方解除本合同，乙方应向甲方支付合同总价</w:t>
      </w:r>
      <w:r>
        <w:rPr>
          <w:sz w:val="21"/>
        </w:rPr>
        <w:t>10%的违约金，并赔偿甲方超过违约金的经济损失，由此引发造成合同以外的第三人人身或财产损害的，均由乙方自行负责赔偿。</w:t>
      </w:r>
    </w:p>
    <w:p>
      <w:pPr>
        <w:ind w:firstLine="420"/>
        <w:jc w:val="both"/>
      </w:pPr>
      <w:r>
        <w:rPr>
          <w:sz w:val="21"/>
        </w:rPr>
        <w:t>9.</w:t>
      </w:r>
      <w:r>
        <w:rPr>
          <w:sz w:val="21"/>
        </w:rPr>
        <w:t>如乙方工作质量达不到约定要求，须应甲方要求更换、重做，乙方还应该承担相应的赔偿责任，且甲方有权在应支付价款中予以优先扣除该部分赔偿款。乙方拒绝更换、重做或更换、重做后仍达不到约定要求的，甲方有权单方解除合同，乙方自接到解除合同通知之日起</w:t>
      </w:r>
      <w:r>
        <w:rPr>
          <w:sz w:val="21"/>
          <w:u w:val="single"/>
        </w:rPr>
        <w:t>5</w:t>
      </w:r>
      <w:r>
        <w:rPr>
          <w:sz w:val="21"/>
        </w:rPr>
        <w:t>日内，按合同总价的</w:t>
      </w:r>
      <w:r>
        <w:rPr>
          <w:sz w:val="21"/>
        </w:rPr>
        <w:t>2%向甲方支付违约金，并赔偿因此给甲方造成的全部经济损失。</w:t>
      </w:r>
    </w:p>
    <w:p>
      <w:pPr>
        <w:ind w:firstLine="420"/>
        <w:jc w:val="both"/>
      </w:pPr>
      <w:r>
        <w:rPr>
          <w:sz w:val="21"/>
        </w:rPr>
        <w:t>10.如乙方未按合同约定品牌采购设备、材料，须应甲方要求更换，因更换发生的费用由乙方自行承担；乙方拒不更换时，甲方将委托第三方进行更换，所发生的费用由乙方承担。因乙方使用非合同约定品牌的设备、材料时，甲方有权按合同总价的1%扣罚乙方的违约责任。</w:t>
      </w:r>
    </w:p>
    <w:p>
      <w:pPr>
        <w:ind w:firstLine="420"/>
        <w:jc w:val="both"/>
      </w:pPr>
      <w:r>
        <w:rPr>
          <w:sz w:val="21"/>
        </w:rPr>
        <w:t>11.质保期内，乙方承诺</w:t>
      </w:r>
      <w:r>
        <w:rPr>
          <w:sz w:val="21"/>
          <w:u w:val="single"/>
        </w:rPr>
        <w:t xml:space="preserve">    </w:t>
      </w:r>
      <w:r>
        <w:rPr>
          <w:sz w:val="21"/>
        </w:rPr>
        <w:t>小时内响应并派专人到达现场处理，未达到以上要求每次按合同的</w:t>
      </w:r>
      <w:r>
        <w:rPr>
          <w:sz w:val="21"/>
        </w:rPr>
        <w:t>1%处罚，从质保金中扣除，不足部分由乙方在三天内补足。</w:t>
      </w:r>
    </w:p>
    <w:p>
      <w:pPr>
        <w:ind w:firstLine="420"/>
        <w:jc w:val="both"/>
      </w:pPr>
      <w:r>
        <w:rPr>
          <w:sz w:val="21"/>
        </w:rPr>
        <w:t>12.合同执行过程中，如因乙方原因导致甲方出现品牌事件或影响甲方社会形象（如讨薪事件等）的事件，甲方有权按10000元/次进行处罚。如情况特别严重，甲方有权解除合同，由此产生的后果由乙方承担。</w:t>
      </w:r>
    </w:p>
    <w:p>
      <w:pPr>
        <w:ind w:firstLine="420"/>
        <w:jc w:val="both"/>
      </w:pPr>
      <w:r>
        <w:rPr>
          <w:sz w:val="21"/>
        </w:rPr>
        <w:t>13.如乙方拒绝施工甲方委托的与本工程相关的工作内容时，甲方将另行委托第三方进行施工，由此增加甲方管理费用的甲方有权按合同总价的1%扣罚乙方。</w:t>
      </w:r>
    </w:p>
    <w:p>
      <w:pPr>
        <w:ind w:firstLine="420"/>
        <w:jc w:val="both"/>
      </w:pPr>
      <w:r>
        <w:rPr>
          <w:sz w:val="21"/>
        </w:rPr>
        <w:t>14.</w:t>
      </w:r>
      <w:r>
        <w:rPr>
          <w:sz w:val="21"/>
        </w:rPr>
        <w:t>因乙方原因导致合同被终止或被解除时，甲方有权决定是否接受与本工程有关的属于乙方在现场的一切设施、材料，或要求乙方自负费用承担现场的设施、材料清理工作。</w:t>
      </w:r>
    </w:p>
    <w:p>
      <w:pPr>
        <w:ind w:firstLine="420"/>
        <w:jc w:val="both"/>
      </w:pPr>
      <w:r>
        <w:rPr>
          <w:sz w:val="21"/>
        </w:rPr>
        <w:t>15.</w:t>
      </w:r>
      <w:r>
        <w:rPr>
          <w:sz w:val="21"/>
        </w:rPr>
        <w:t>合同双方中的任何一方不能履行其它义务，经守约方书面催告后仍不能在合理期限内作符合约定的改正或补救的，守约方有权要求违约方按本合同总价的</w:t>
      </w:r>
      <w:r>
        <w:rPr>
          <w:sz w:val="21"/>
        </w:rPr>
        <w:t>2%支付违约金，并赔偿自身由此遭受的损失，且守约方有权单方书面通知违约方解除本合同。</w:t>
      </w:r>
    </w:p>
    <w:p>
      <w:pPr>
        <w:ind w:firstLine="420"/>
        <w:jc w:val="both"/>
      </w:pPr>
      <w:r>
        <w:rPr>
          <w:sz w:val="21"/>
        </w:rPr>
        <w:t>16.</w:t>
      </w:r>
      <w:r>
        <w:rPr>
          <w:sz w:val="21"/>
        </w:rPr>
        <w:t>乙方送交甲方的竣工图、结算文件等有关资料不得侵犯任何第三方的所有权及知识产权等其他合法权益，未经甲方书面同意，乙方不得擅自使用、转让或泄露给第三方。若乙方违反上述规定的，应承担由此给甲方或其他第三方造成的一切损失及责任。</w:t>
      </w:r>
    </w:p>
    <w:p>
      <w:pPr>
        <w:ind w:firstLine="420"/>
        <w:jc w:val="both"/>
      </w:pPr>
      <w:r>
        <w:rPr>
          <w:sz w:val="21"/>
        </w:rPr>
        <w:t>17.</w:t>
      </w:r>
      <w:r>
        <w:rPr>
          <w:sz w:val="21"/>
        </w:rPr>
        <w:t>本合同约定的违约金如不足以赔偿守约方因违约方的违约行为而遭受的损失的，违约方还应当赔偿守约方的损失，包括但不限于律师费、财产保全费、诉讼费等费用（除非另有特别说明，本合同下的</w:t>
      </w:r>
      <w:r>
        <w:rPr>
          <w:sz w:val="21"/>
        </w:rPr>
        <w:t>“损失”均作此解释）。</w:t>
      </w:r>
    </w:p>
    <w:p>
      <w:pPr>
        <w:ind w:firstLine="422"/>
        <w:jc w:val="both"/>
      </w:pPr>
      <w:r>
        <w:rPr>
          <w:b/>
          <w:sz w:val="21"/>
        </w:rPr>
        <w:t>第八条</w:t>
      </w:r>
      <w:r>
        <w:rPr>
          <w:b/>
          <w:sz w:val="21"/>
        </w:rPr>
        <w:t xml:space="preserve"> </w:t>
      </w:r>
      <w:r>
        <w:rPr>
          <w:b/>
          <w:sz w:val="21"/>
        </w:rPr>
        <w:t>不可抗力</w:t>
      </w:r>
    </w:p>
    <w:p>
      <w:pPr>
        <w:ind w:firstLine="420"/>
        <w:jc w:val="both"/>
      </w:pPr>
      <w:r>
        <w:rPr>
          <w:sz w:val="21"/>
        </w:rPr>
        <w:t>1.</w:t>
      </w:r>
      <w:r>
        <w:rPr>
          <w:sz w:val="21"/>
        </w:rPr>
        <w:t>本合同所称不可抗力，是指本合同各方由于地震、台风、水灾、火灾、战争、官方宣告的疫情、法律法规政策重大变化以及其他不能预见并且对其发生和后果不能防止或不能避免且不可克服的客观情况。</w:t>
      </w:r>
    </w:p>
    <w:p>
      <w:pPr>
        <w:ind w:firstLine="420"/>
        <w:jc w:val="both"/>
      </w:pPr>
      <w:r>
        <w:rPr>
          <w:sz w:val="21"/>
        </w:rPr>
        <w:t>2.</w:t>
      </w:r>
      <w:r>
        <w:rPr>
          <w:sz w:val="21"/>
        </w:rPr>
        <w:t>甲乙双方中任何一方由于不可抗力影响合同执行时，发生不可抗力一方应尽快将事故书面通知另一方，</w:t>
      </w:r>
      <w:r>
        <w:rPr>
          <w:sz w:val="21"/>
        </w:rPr>
        <w:t>并提供证明不可抗力事件存在的相关材料</w:t>
      </w:r>
      <w:r>
        <w:rPr>
          <w:sz w:val="21"/>
        </w:rPr>
        <w:t>。在此情况下，双方应通过友好协商尽快解决本合同的执行问题。</w:t>
      </w:r>
    </w:p>
    <w:p>
      <w:pPr>
        <w:ind w:firstLine="422"/>
        <w:jc w:val="both"/>
      </w:pPr>
      <w:r>
        <w:rPr>
          <w:b/>
          <w:sz w:val="21"/>
        </w:rPr>
        <w:t>第九条</w:t>
      </w:r>
      <w:r>
        <w:rPr>
          <w:b/>
          <w:sz w:val="21"/>
        </w:rPr>
        <w:t xml:space="preserve"> </w:t>
      </w:r>
      <w:r>
        <w:rPr>
          <w:b/>
          <w:sz w:val="21"/>
        </w:rPr>
        <w:t>其他约定</w:t>
      </w:r>
    </w:p>
    <w:p>
      <w:pPr>
        <w:ind w:firstLine="420"/>
        <w:jc w:val="both"/>
      </w:pPr>
      <w:r>
        <w:rPr>
          <w:sz w:val="21"/>
        </w:rPr>
        <w:t>1.</w:t>
      </w:r>
      <w:r>
        <w:rPr>
          <w:sz w:val="21"/>
        </w:rPr>
        <w:t>乙方在工程结算审计中应遵守《广州中医药大学第三附属医院修缮工程项目审计实施办法》中工程项目审核核减率在</w:t>
      </w:r>
      <w:r>
        <w:rPr>
          <w:sz w:val="21"/>
        </w:rPr>
        <w:t>5%-10%（不含5%）的，其审计费用由施工单位承担50%，核减率超过10%（含10%）的，其审计费用由施工单位全部承担等有关条款。</w:t>
      </w:r>
    </w:p>
    <w:p>
      <w:pPr>
        <w:ind w:firstLine="420"/>
        <w:jc w:val="both"/>
      </w:pPr>
      <w:r>
        <w:rPr>
          <w:sz w:val="21"/>
        </w:rPr>
        <w:t>2.</w:t>
      </w:r>
      <w:r>
        <w:rPr>
          <w:sz w:val="21"/>
        </w:rPr>
        <w:t>如因国家及政府新规导致税率变动的，合同总价按以下原则调整：新规执行日前已发生的产值，该部分合同价不予调整，乙方需依照旧税率开具合法合规的增值税发票，如无法开具旧税率增值税发票的，则需按照新税率调整合同价。新规执行日后发生的产值，如能依照旧税率开具发票，则甲方有权选择按新税率调整合同价或按原合同价格继续执行，乙方不得拒绝；如不能依照旧税率开具发票的，则按照新税率进行合同价调整。合同价格调整的具体方法为：新税率下对应的合同价</w:t>
      </w:r>
      <w:r>
        <w:rPr>
          <w:sz w:val="21"/>
        </w:rPr>
        <w:t>=旧税率对应的合同价÷（1+旧税率）×（1+新税率） 。</w:t>
      </w:r>
    </w:p>
    <w:p>
      <w:pPr>
        <w:ind w:firstLine="420"/>
        <w:jc w:val="both"/>
      </w:pPr>
      <w:r>
        <w:rPr>
          <w:sz w:val="21"/>
        </w:rPr>
        <w:t>3.</w:t>
      </w:r>
      <w:r>
        <w:rPr>
          <w:sz w:val="21"/>
        </w:rPr>
        <w:t>乙方需具有一定的资金实力，不得因工程款不能按时到位而影响工期或提出任何形式索赔。</w:t>
      </w:r>
    </w:p>
    <w:p>
      <w:pPr>
        <w:ind w:firstLine="420"/>
        <w:jc w:val="both"/>
      </w:pPr>
      <w:r>
        <w:rPr>
          <w:sz w:val="21"/>
        </w:rPr>
        <w:t>4.</w:t>
      </w:r>
      <w:r>
        <w:rPr>
          <w:sz w:val="21"/>
        </w:rPr>
        <w:t>本项目用户需求书、乙方</w:t>
      </w:r>
      <w:r>
        <w:rPr>
          <w:sz w:val="21"/>
        </w:rPr>
        <w:t>响应</w:t>
      </w:r>
      <w:r>
        <w:rPr>
          <w:sz w:val="21"/>
        </w:rPr>
        <w:t>文件、项目施工过程资料均为本合同有效组成部分，对于以上文件不一致之处，甲方具有最终解释权，乙方需按要求及承诺执行。</w:t>
      </w:r>
    </w:p>
    <w:p>
      <w:pPr>
        <w:ind w:firstLine="420"/>
        <w:jc w:val="both"/>
      </w:pPr>
      <w:r>
        <w:rPr>
          <w:sz w:val="21"/>
        </w:rPr>
        <w:t>5.</w:t>
      </w:r>
      <w:r>
        <w:rPr>
          <w:sz w:val="21"/>
        </w:rPr>
        <w:t>本合同未尽事宜，双方在不违背合同和</w:t>
      </w:r>
      <w:r>
        <w:rPr>
          <w:sz w:val="21"/>
        </w:rPr>
        <w:t>磋商</w:t>
      </w:r>
      <w:r>
        <w:rPr>
          <w:sz w:val="21"/>
        </w:rPr>
        <w:t>文件的原则下，协商解决。协商结果以</w:t>
      </w:r>
      <w:r>
        <w:rPr>
          <w:sz w:val="21"/>
        </w:rPr>
        <w:t>“备忘录”形式作为合同的附件，与本合同具有同等法律效力。</w:t>
      </w:r>
    </w:p>
    <w:p>
      <w:pPr>
        <w:ind w:firstLine="420"/>
        <w:jc w:val="both"/>
      </w:pPr>
      <w:r>
        <w:rPr>
          <w:sz w:val="21"/>
        </w:rPr>
        <w:t>6.</w:t>
      </w:r>
      <w:r>
        <w:rPr>
          <w:sz w:val="21"/>
        </w:rPr>
        <w:t>本合同未尽事宜由双方协商解决，如合同执行过程中发生争议且双方协商不成，任何一方均可向甲方所在地人民法院起诉。</w:t>
      </w:r>
    </w:p>
    <w:p>
      <w:pPr>
        <w:ind w:firstLine="422"/>
        <w:jc w:val="both"/>
      </w:pPr>
      <w:r>
        <w:rPr>
          <w:b/>
          <w:sz w:val="21"/>
        </w:rPr>
        <w:t>第十条</w:t>
      </w:r>
      <w:r>
        <w:rPr>
          <w:b/>
          <w:sz w:val="21"/>
        </w:rPr>
        <w:t xml:space="preserve"> </w:t>
      </w:r>
      <w:r>
        <w:rPr>
          <w:b/>
          <w:sz w:val="21"/>
        </w:rPr>
        <w:t>附则</w:t>
      </w:r>
    </w:p>
    <w:p>
      <w:pPr>
        <w:ind w:firstLine="420"/>
        <w:jc w:val="both"/>
      </w:pPr>
      <w:r>
        <w:rPr>
          <w:sz w:val="21"/>
        </w:rPr>
        <w:t>1.本合同自双方签字</w:t>
      </w:r>
      <w:r>
        <w:rPr>
          <w:sz w:val="21"/>
        </w:rPr>
        <w:t>并</w:t>
      </w:r>
      <w:r>
        <w:rPr>
          <w:sz w:val="21"/>
        </w:rPr>
        <w:t>盖章之日起生效，合同一式</w:t>
      </w:r>
      <w:r>
        <w:rPr>
          <w:sz w:val="21"/>
          <w:u w:val="single"/>
        </w:rPr>
        <w:t xml:space="preserve"> </w:t>
      </w:r>
      <w:r>
        <w:rPr>
          <w:sz w:val="21"/>
          <w:u w:val="single"/>
        </w:rPr>
        <w:t>陆</w:t>
      </w:r>
      <w:r>
        <w:rPr>
          <w:sz w:val="21"/>
        </w:rPr>
        <w:t>份，甲乙双方各执叁份，具有同等法律效</w:t>
      </w:r>
    </w:p>
    <w:p>
      <w:pPr>
        <w:jc w:val="both"/>
      </w:pPr>
      <w:r>
        <w:rPr>
          <w:sz w:val="21"/>
        </w:rPr>
        <w:t>2.本合同履行完成后自动终止。</w:t>
      </w:r>
    </w:p>
    <w:p>
      <w:pPr>
        <w:ind w:firstLine="422"/>
        <w:jc w:val="both"/>
      </w:pPr>
      <w:r>
        <w:rPr>
          <w:b/>
          <w:sz w:val="21"/>
        </w:rPr>
        <w:t>第十一条</w:t>
      </w:r>
      <w:r>
        <w:rPr>
          <w:b/>
          <w:sz w:val="21"/>
        </w:rPr>
        <w:t xml:space="preserve"> </w:t>
      </w:r>
      <w:r>
        <w:rPr>
          <w:b/>
          <w:sz w:val="21"/>
        </w:rPr>
        <w:t>合同附件清单</w:t>
      </w:r>
    </w:p>
    <w:p>
      <w:pPr>
        <w:ind w:firstLine="420"/>
        <w:jc w:val="both"/>
      </w:pPr>
      <w:r>
        <w:rPr>
          <w:sz w:val="21"/>
        </w:rPr>
        <w:t>本合同附件清单：</w:t>
      </w:r>
      <w:r>
        <w:rPr>
          <w:sz w:val="21"/>
        </w:rPr>
        <w:t>1、报价清单；</w:t>
      </w:r>
      <w:r>
        <w:rPr>
          <w:sz w:val="21"/>
        </w:rPr>
        <w:t>2、材料设备品牌表；3、</w:t>
      </w:r>
      <w:r>
        <w:rPr>
          <w:sz w:val="21"/>
        </w:rPr>
        <w:t>安全管理协议；</w:t>
      </w:r>
      <w:r>
        <w:rPr>
          <w:sz w:val="21"/>
        </w:rPr>
        <w:t>4</w:t>
      </w:r>
      <w:r>
        <w:rPr>
          <w:sz w:val="21"/>
        </w:rPr>
        <w:t>、廉洁协议。</w:t>
      </w:r>
    </w:p>
    <w:p>
      <w:pPr>
        <w:ind w:firstLine="420"/>
        <w:jc w:val="both"/>
      </w:pPr>
      <w:r>
        <w:rPr>
          <w:sz w:val="21"/>
        </w:rPr>
        <w:t>以下无正文</w:t>
      </w:r>
    </w:p>
    <w:p>
      <w:pPr>
        <w:jc w:val="both"/>
      </w:pPr>
      <w:r>
        <w:rPr>
          <w:sz w:val="21"/>
        </w:rPr>
        <w:t xml:space="preserve"> </w:t>
      </w:r>
    </w:p>
    <w:p>
      <w:pPr>
        <w:jc w:val="both"/>
      </w:pPr>
      <w:r>
        <w:rPr>
          <w:sz w:val="21"/>
        </w:rPr>
        <w:t>甲方（盖章）：</w:t>
      </w:r>
      <w:r>
        <w:rPr>
          <w:sz w:val="21"/>
        </w:rPr>
        <w:t xml:space="preserve">    </w:t>
      </w:r>
      <w:r>
        <w:rPr>
          <w:sz w:val="21"/>
        </w:rPr>
        <w:t xml:space="preserve">                 </w:t>
      </w:r>
      <w:r>
        <w:rPr>
          <w:sz w:val="21"/>
        </w:rPr>
        <w:t>乙方（盖章）：</w:t>
      </w:r>
    </w:p>
    <w:p>
      <w:pPr>
        <w:jc w:val="both"/>
      </w:pPr>
      <w:r>
        <w:rPr>
          <w:sz w:val="21"/>
        </w:rPr>
        <w:t>法定代表人（或授权人）：</w:t>
      </w:r>
      <w:r>
        <w:rPr>
          <w:sz w:val="21"/>
        </w:rPr>
        <w:t xml:space="preserve">                    </w:t>
      </w:r>
      <w:r>
        <w:rPr>
          <w:sz w:val="21"/>
        </w:rPr>
        <w:t>法定代表人（或授权人）：</w:t>
      </w:r>
    </w:p>
    <w:p>
      <w:pPr>
        <w:jc w:val="both"/>
      </w:pPr>
      <w:r>
        <w:rPr>
          <w:sz w:val="21"/>
        </w:rPr>
        <w:t>地</w:t>
      </w:r>
      <w:r>
        <w:rPr>
          <w:sz w:val="21"/>
        </w:rPr>
        <w:t xml:space="preserve">   </w:t>
      </w:r>
      <w:r>
        <w:rPr>
          <w:sz w:val="21"/>
        </w:rPr>
        <w:t>址：</w:t>
      </w:r>
      <w:r>
        <w:rPr>
          <w:sz w:val="21"/>
          <w:u w:val="single"/>
        </w:rPr>
        <w:t>广州市荔湾区龙溪大道</w:t>
      </w:r>
      <w:r>
        <w:rPr>
          <w:sz w:val="21"/>
          <w:u w:val="single"/>
        </w:rPr>
        <w:t>261、263号</w:t>
      </w:r>
      <w:r>
        <w:rPr>
          <w:sz w:val="21"/>
        </w:rPr>
        <w:t xml:space="preserve">    </w:t>
      </w:r>
      <w:r>
        <w:rPr>
          <w:sz w:val="21"/>
        </w:rPr>
        <w:t>地</w:t>
      </w:r>
      <w:r>
        <w:rPr>
          <w:sz w:val="21"/>
        </w:rPr>
        <w:t xml:space="preserve">   </w:t>
      </w:r>
      <w:r>
        <w:rPr>
          <w:sz w:val="21"/>
        </w:rPr>
        <w:t>址：</w:t>
      </w:r>
    </w:p>
    <w:p>
      <w:pPr>
        <w:jc w:val="both"/>
      </w:pPr>
      <w:r>
        <w:rPr>
          <w:sz w:val="21"/>
        </w:rPr>
        <w:t>开户银行：</w:t>
      </w:r>
      <w:r>
        <w:rPr>
          <w:sz w:val="21"/>
          <w:u w:val="single"/>
        </w:rPr>
        <w:t>中国建设银行广州环市东路支行</w:t>
      </w:r>
      <w:r>
        <w:rPr>
          <w:sz w:val="21"/>
        </w:rPr>
        <w:t xml:space="preserve">       </w:t>
      </w:r>
      <w:r>
        <w:rPr>
          <w:sz w:val="21"/>
        </w:rPr>
        <w:t>开户银行：</w:t>
      </w:r>
    </w:p>
    <w:p>
      <w:pPr>
        <w:jc w:val="both"/>
      </w:pPr>
      <w:r>
        <w:rPr>
          <w:sz w:val="21"/>
        </w:rPr>
        <w:t>账</w:t>
      </w:r>
      <w:r>
        <w:rPr>
          <w:sz w:val="21"/>
        </w:rPr>
        <w:t xml:space="preserve">   </w:t>
      </w:r>
      <w:r>
        <w:rPr>
          <w:sz w:val="21"/>
        </w:rPr>
        <w:t>号：</w:t>
      </w:r>
      <w:r>
        <w:rPr>
          <w:sz w:val="21"/>
          <w:u w:val="single"/>
        </w:rPr>
        <w:t>44050149050500000182</w:t>
      </w:r>
      <w:r>
        <w:rPr>
          <w:sz w:val="21"/>
        </w:rPr>
        <w:t xml:space="preserve">               </w:t>
      </w:r>
      <w:r>
        <w:rPr>
          <w:sz w:val="21"/>
        </w:rPr>
        <w:t>账</w:t>
      </w:r>
      <w:r>
        <w:rPr>
          <w:sz w:val="21"/>
        </w:rPr>
        <w:t xml:space="preserve">   </w:t>
      </w:r>
      <w:r>
        <w:rPr>
          <w:sz w:val="21"/>
        </w:rPr>
        <w:t>号：</w:t>
      </w:r>
    </w:p>
    <w:p>
      <w:pPr>
        <w:jc w:val="both"/>
      </w:pPr>
      <w:r>
        <w:rPr>
          <w:sz w:val="21"/>
        </w:rPr>
        <w:t>电</w:t>
      </w:r>
      <w:r>
        <w:rPr>
          <w:sz w:val="21"/>
        </w:rPr>
        <w:t xml:space="preserve">   </w:t>
      </w:r>
      <w:r>
        <w:rPr>
          <w:sz w:val="21"/>
        </w:rPr>
        <w:t>话：</w:t>
      </w:r>
      <w:r>
        <w:rPr>
          <w:sz w:val="21"/>
        </w:rPr>
        <w:t xml:space="preserve">         </w:t>
      </w:r>
      <w:r>
        <w:rPr>
          <w:sz w:val="21"/>
        </w:rPr>
        <w:t xml:space="preserve">            </w:t>
      </w:r>
      <w:r>
        <w:rPr>
          <w:sz w:val="21"/>
        </w:rPr>
        <w:t xml:space="preserve">             </w:t>
      </w:r>
      <w:r>
        <w:rPr>
          <w:sz w:val="21"/>
        </w:rPr>
        <w:t>电</w:t>
      </w:r>
      <w:r>
        <w:rPr>
          <w:sz w:val="21"/>
        </w:rPr>
        <w:t xml:space="preserve">   </w:t>
      </w:r>
      <w:r>
        <w:rPr>
          <w:sz w:val="21"/>
        </w:rPr>
        <w:t>话：</w:t>
      </w:r>
    </w:p>
    <w:p>
      <w:pPr>
        <w:jc w:val="both"/>
      </w:pPr>
      <w:r>
        <w:rPr>
          <w:sz w:val="21"/>
        </w:rPr>
        <w:t>邮</w:t>
      </w:r>
      <w:r>
        <w:rPr>
          <w:sz w:val="21"/>
        </w:rPr>
        <w:t xml:space="preserve">   </w:t>
      </w:r>
      <w:r>
        <w:rPr>
          <w:sz w:val="21"/>
        </w:rPr>
        <w:t>箱</w:t>
      </w:r>
      <w:r>
        <w:rPr>
          <w:sz w:val="21"/>
        </w:rPr>
        <w:t>：</w:t>
      </w:r>
      <w:r>
        <w:rPr>
          <w:sz w:val="21"/>
        </w:rPr>
        <w:t xml:space="preserve">                                   </w:t>
      </w:r>
      <w:r>
        <w:rPr>
          <w:sz w:val="21"/>
        </w:rPr>
        <w:t>企业邮箱</w:t>
      </w:r>
      <w:r>
        <w:rPr>
          <w:sz w:val="21"/>
        </w:rPr>
        <w:t>：</w:t>
      </w:r>
    </w:p>
    <w:p>
      <w:pPr>
        <w:jc w:val="both"/>
      </w:pPr>
      <w:r>
        <w:rPr>
          <w:sz w:val="21"/>
        </w:rPr>
        <w:t>签约日期：</w:t>
      </w:r>
      <w:r>
        <w:rPr>
          <w:sz w:val="21"/>
        </w:rPr>
        <w:t>202</w:t>
      </w:r>
      <w:r>
        <w:rPr>
          <w:sz w:val="21"/>
        </w:rPr>
        <w:t>3</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202</w:t>
      </w:r>
      <w:r>
        <w:rPr>
          <w:sz w:val="21"/>
        </w:rPr>
        <w:t>3</w:t>
      </w:r>
      <w:r>
        <w:rPr>
          <w:sz w:val="21"/>
        </w:rPr>
        <w:t>年</w:t>
      </w:r>
      <w:r>
        <w:rPr>
          <w:sz w:val="21"/>
        </w:rPr>
        <w:t xml:space="preserve">  </w:t>
      </w:r>
      <w:r>
        <w:rPr>
          <w:sz w:val="21"/>
        </w:rPr>
        <w:t>月</w:t>
      </w:r>
      <w:r>
        <w:rPr>
          <w:sz w:val="21"/>
        </w:rPr>
        <w:t xml:space="preserve">  </w:t>
      </w:r>
      <w:r>
        <w:rPr>
          <w:sz w:val="21"/>
        </w:rPr>
        <w:t>日</w:t>
      </w:r>
    </w:p>
    <w:p>
      <w:pPr>
        <w:jc w:val="both"/>
      </w:pPr>
      <w:r>
        <w:rPr>
          <w:sz w:val="21"/>
        </w:rPr>
        <w:t>签约地点：广州市</w:t>
      </w:r>
    </w:p>
    <w:p>
      <w:pPr>
        <w:jc w:val="both"/>
      </w:pPr>
    </w:p>
    <w:p/>
    <w:p>
      <w:r>
        <w:rPr/>
        <w:t xml:space="preserve"> </w:t>
      </w:r>
    </w:p>
    <w:p>
      <w:pPr>
        <w:jc w:val="left"/>
      </w:pPr>
    </w:p>
    <w:p>
      <w:pPr>
        <w:jc w:val="both"/>
      </w:pPr>
      <w:r>
        <w:rPr>
          <w:sz w:val="21"/>
        </w:rPr>
        <w:t>附件</w:t>
      </w:r>
      <w:r>
        <w:rPr>
          <w:sz w:val="21"/>
        </w:rPr>
        <w:t>2</w:t>
      </w:r>
      <w:r>
        <w:rPr>
          <w:sz w:val="21"/>
        </w:rPr>
        <w:t>：</w:t>
      </w:r>
    </w:p>
    <w:p>
      <w:pPr>
        <w:jc w:val="both"/>
      </w:pPr>
    </w:p>
    <w:p>
      <w:pPr>
        <w:jc w:val="center"/>
      </w:pPr>
      <w:r>
        <w:rPr>
          <w:b/>
          <w:sz w:val="32"/>
        </w:rPr>
        <w:t>材料设备品牌表</w:t>
      </w:r>
    </w:p>
    <w:tbl>
      <w:tblPr>
        <w:tblW w:w="0" w:type="auto"/>
        <w:tblBorders>
          <w:top w:val="none" w:color="000000" w:sz="4"/>
          <w:left w:val="none" w:color="000000" w:sz="4"/>
          <w:bottom w:val="none" w:color="000000" w:sz="4"/>
          <w:right w:val="none" w:color="000000" w:sz="4"/>
          <w:insideH w:val="none"/>
          <w:insideV w:val="none"/>
        </w:tblBorders>
      </w:tblPr>
      <w:tblGrid>
        <w:gridCol w:w="532"/>
        <w:gridCol w:w="1428"/>
        <w:gridCol w:w="6317"/>
      </w:tblGrid>
      <w:tr>
        <w:tc>
          <w:tcPr>
            <w:tcW w:type="dxa" w:w="53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28"/>
            <w:tcBorders>
              <w:top w:val="single" w:color="000000" w:sz="4"/>
              <w:left w:val="single" w:color="000000" w:sz="4"/>
              <w:bottom w:val="single" w:color="000000" w:sz="4"/>
              <w:right w:val="single" w:color="000000" w:sz="4"/>
            </w:tcBorders>
            <w:vAlign w:val="top"/>
          </w:tcPr>
          <w:p>
            <w:pPr>
              <w:jc w:val="center"/>
            </w:pPr>
            <w:r>
              <w:rPr>
                <w:sz w:val="21"/>
              </w:rPr>
              <w:t>设备类型</w:t>
            </w:r>
          </w:p>
        </w:tc>
        <w:tc>
          <w:tcPr>
            <w:tcW w:type="dxa" w:w="6317"/>
            <w:tcBorders>
              <w:top w:val="single" w:color="000000" w:sz="4"/>
              <w:left w:val="single" w:color="000000" w:sz="4"/>
              <w:bottom w:val="single" w:color="000000" w:sz="4"/>
              <w:right w:val="single" w:color="000000" w:sz="4"/>
            </w:tcBorders>
            <w:vAlign w:val="top"/>
          </w:tcPr>
          <w:p>
            <w:pPr>
              <w:jc w:val="center"/>
            </w:pPr>
            <w:r>
              <w:rPr>
                <w:b/>
                <w:sz w:val="21"/>
              </w:rPr>
              <w:t>详见《工程量清单》总说明，一经确定，乙方不得随意变更品牌</w:t>
            </w: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28"/>
            <w:tcBorders>
              <w:top w:val="none" w:color="000000" w:sz="4"/>
              <w:left w:val="single" w:color="000000" w:sz="4"/>
              <w:bottom w:val="single" w:color="000000" w:sz="4"/>
              <w:right w:val="single" w:color="000000" w:sz="4"/>
            </w:tcBorders>
            <w:vAlign w:val="top"/>
          </w:tcPr>
          <w:p>
            <w:pPr>
              <w:jc w:val="center"/>
            </w:pPr>
            <w:r>
              <w:rPr>
                <w:sz w:val="21"/>
              </w:rPr>
              <w:t>高低压电缆</w:t>
            </w:r>
          </w:p>
        </w:tc>
        <w:tc>
          <w:tcPr>
            <w:tcW w:type="dxa" w:w="6317"/>
            <w:tcBorders>
              <w:top w:val="none" w:color="000000" w:sz="4"/>
              <w:left w:val="single" w:color="000000" w:sz="4"/>
              <w:bottom w:val="single" w:color="000000" w:sz="4"/>
              <w:right w:val="single" w:color="000000" w:sz="4"/>
            </w:tcBorders>
            <w:vAlign w:val="top"/>
          </w:tcPr>
          <w:p>
            <w:pPr>
              <w:jc w:val="both"/>
            </w:pP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28"/>
            <w:tcBorders>
              <w:top w:val="none" w:color="000000" w:sz="4"/>
              <w:left w:val="single" w:color="000000" w:sz="4"/>
              <w:bottom w:val="single" w:color="000000" w:sz="4"/>
              <w:right w:val="single" w:color="000000" w:sz="4"/>
            </w:tcBorders>
            <w:vAlign w:val="top"/>
          </w:tcPr>
          <w:p>
            <w:pPr>
              <w:jc w:val="center"/>
            </w:pPr>
            <w:r>
              <w:rPr>
                <w:sz w:val="21"/>
              </w:rPr>
              <w:t>母线槽</w:t>
            </w:r>
          </w:p>
        </w:tc>
        <w:tc>
          <w:tcPr>
            <w:tcW w:type="dxa" w:w="6317"/>
            <w:tcBorders>
              <w:top w:val="none" w:color="000000" w:sz="4"/>
              <w:left w:val="single" w:color="000000" w:sz="4"/>
              <w:bottom w:val="single" w:color="000000" w:sz="4"/>
              <w:right w:val="single" w:color="000000" w:sz="4"/>
            </w:tcBorders>
            <w:vAlign w:val="top"/>
          </w:tcPr>
          <w:p>
            <w:pPr>
              <w:jc w:val="both"/>
            </w:pP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28"/>
            <w:tcBorders>
              <w:top w:val="none" w:color="000000" w:sz="4"/>
              <w:left w:val="single" w:color="000000" w:sz="4"/>
              <w:bottom w:val="single" w:color="000000" w:sz="4"/>
              <w:right w:val="single" w:color="000000" w:sz="4"/>
            </w:tcBorders>
            <w:vAlign w:val="top"/>
          </w:tcPr>
          <w:p>
            <w:pPr>
              <w:jc w:val="center"/>
            </w:pPr>
            <w:r>
              <w:rPr>
                <w:sz w:val="21"/>
              </w:rPr>
              <w:t>柜内主要元器件（</w:t>
            </w:r>
            <w:r>
              <w:rPr>
                <w:sz w:val="21"/>
              </w:rPr>
              <w:t>*下注说明）</w:t>
            </w:r>
          </w:p>
        </w:tc>
        <w:tc>
          <w:tcPr>
            <w:tcW w:type="dxa" w:w="6317"/>
            <w:tcBorders>
              <w:top w:val="none" w:color="000000" w:sz="4"/>
              <w:left w:val="single" w:color="000000" w:sz="4"/>
              <w:bottom w:val="single" w:color="000000" w:sz="4"/>
              <w:right w:val="single" w:color="000000" w:sz="4"/>
            </w:tcBorders>
            <w:vAlign w:val="top"/>
          </w:tcPr>
          <w:p>
            <w:pPr>
              <w:jc w:val="both"/>
            </w:pP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28"/>
            <w:tcBorders>
              <w:top w:val="none" w:color="000000" w:sz="4"/>
              <w:left w:val="single" w:color="000000" w:sz="4"/>
              <w:bottom w:val="single" w:color="000000" w:sz="4"/>
              <w:right w:val="single" w:color="000000" w:sz="4"/>
            </w:tcBorders>
            <w:vAlign w:val="top"/>
          </w:tcPr>
          <w:p>
            <w:pPr>
              <w:jc w:val="center"/>
            </w:pPr>
            <w:r>
              <w:rPr>
                <w:sz w:val="21"/>
              </w:rPr>
              <w:t>配电箱</w:t>
            </w:r>
            <w:r>
              <w:rPr>
                <w:sz w:val="21"/>
              </w:rPr>
              <w:t>/柜</w:t>
            </w:r>
          </w:p>
        </w:tc>
        <w:tc>
          <w:tcPr>
            <w:tcW w:type="dxa" w:w="6317"/>
            <w:tcBorders>
              <w:top w:val="none" w:color="000000" w:sz="4"/>
              <w:left w:val="single" w:color="000000" w:sz="4"/>
              <w:bottom w:val="single" w:color="000000" w:sz="4"/>
              <w:right w:val="single" w:color="000000" w:sz="4"/>
            </w:tcBorders>
            <w:vAlign w:val="top"/>
          </w:tcPr>
          <w:p>
            <w:pPr>
              <w:jc w:val="both"/>
            </w:pPr>
          </w:p>
        </w:tc>
      </w:tr>
      <w:tr>
        <w:tc>
          <w:tcPr>
            <w:tcW w:type="dxa" w:w="53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28"/>
            <w:tcBorders>
              <w:top w:val="none" w:color="000000" w:sz="4"/>
              <w:left w:val="single" w:color="000000" w:sz="4"/>
              <w:bottom w:val="single" w:color="000000" w:sz="4"/>
              <w:right w:val="single" w:color="000000" w:sz="4"/>
            </w:tcBorders>
            <w:vAlign w:val="top"/>
          </w:tcPr>
          <w:p>
            <w:pPr>
              <w:jc w:val="center"/>
            </w:pPr>
            <w:r>
              <w:rPr>
                <w:sz w:val="21"/>
              </w:rPr>
              <w:t>变压器</w:t>
            </w:r>
          </w:p>
        </w:tc>
        <w:tc>
          <w:tcPr>
            <w:tcW w:type="dxa" w:w="6317"/>
            <w:tcBorders>
              <w:top w:val="none" w:color="000000" w:sz="4"/>
              <w:left w:val="single" w:color="000000" w:sz="4"/>
              <w:bottom w:val="single" w:color="000000" w:sz="4"/>
              <w:right w:val="single" w:color="000000" w:sz="4"/>
            </w:tcBorders>
            <w:vAlign w:val="top"/>
          </w:tcPr>
          <w:p>
            <w:pPr>
              <w:jc w:val="both"/>
            </w:pPr>
          </w:p>
        </w:tc>
      </w:tr>
    </w:tbl>
    <w:p>
      <w:pPr>
        <w:jc w:val="both"/>
      </w:pPr>
      <w:r>
        <w:rPr>
          <w:sz w:val="21"/>
        </w:rPr>
        <w:t>*柜内主要元器件说明：主元器件是指断路器、接触器、中间继电器、热继电器、按钮开关、指示灯、万能转换开关和行程开关。</w:t>
      </w:r>
    </w:p>
    <w:p>
      <w:pPr>
        <w:jc w:val="both"/>
      </w:pPr>
    </w:p>
    <w:p/>
    <w:p>
      <w:r>
        <w:rPr/>
        <w:t xml:space="preserve"> </w:t>
      </w:r>
    </w:p>
    <w:p>
      <w:pPr>
        <w:jc w:val="left"/>
      </w:pPr>
      <w:r>
        <w:rPr>
          <w:sz w:val="21"/>
        </w:rPr>
        <w:t>附件</w:t>
      </w:r>
      <w:r>
        <w:rPr>
          <w:sz w:val="21"/>
        </w:rPr>
        <w:t>3</w:t>
      </w:r>
      <w:r>
        <w:rPr>
          <w:sz w:val="21"/>
        </w:rPr>
        <w:t>：</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center"/>
      </w:pPr>
      <w:r>
        <w:rPr>
          <w:b/>
          <w:sz w:val="72"/>
        </w:rPr>
        <w:t>安全管理协议</w:t>
      </w:r>
    </w:p>
    <w:p>
      <w:pPr>
        <w:jc w:val="center"/>
      </w:pPr>
    </w:p>
    <w:p>
      <w:pPr>
        <w:ind w:firstLine="2249"/>
        <w:jc w:val="both"/>
      </w:pPr>
    </w:p>
    <w:p>
      <w:pPr>
        <w:ind w:firstLine="843"/>
        <w:jc w:val="both"/>
      </w:pPr>
    </w:p>
    <w:p>
      <w:pPr>
        <w:ind w:firstLine="843"/>
        <w:jc w:val="both"/>
      </w:pPr>
    </w:p>
    <w:p>
      <w:pPr>
        <w:ind w:firstLine="843"/>
        <w:jc w:val="both"/>
      </w:pPr>
    </w:p>
    <w:p>
      <w:pPr>
        <w:ind w:firstLine="1687"/>
        <w:jc w:val="left"/>
      </w:pPr>
    </w:p>
    <w:p>
      <w:pPr>
        <w:jc w:val="left"/>
      </w:pPr>
    </w:p>
    <w:p>
      <w:pPr>
        <w:jc w:val="left"/>
      </w:pPr>
    </w:p>
    <w:p>
      <w:pPr>
        <w:ind w:firstLine="1680"/>
        <w:jc w:val="left"/>
      </w:pPr>
      <w:r>
        <w:rPr>
          <w:sz w:val="28"/>
        </w:rPr>
        <w:t>甲方：</w:t>
      </w:r>
      <w:r>
        <w:rPr>
          <w:sz w:val="28"/>
          <w:u w:val="single"/>
        </w:rPr>
        <w:t>广州中医药大学第三附属医院</w:t>
      </w:r>
      <w:r>
        <w:rPr>
          <w:sz w:val="28"/>
          <w:u w:val="single"/>
        </w:rPr>
        <w:t xml:space="preserve"> </w:t>
      </w:r>
    </w:p>
    <w:p>
      <w:pPr>
        <w:ind w:firstLine="1680"/>
        <w:jc w:val="left"/>
      </w:pPr>
      <w:r>
        <w:rPr>
          <w:sz w:val="28"/>
        </w:rPr>
        <w:t>乙方：</w:t>
      </w:r>
      <w:r>
        <w:rPr>
          <w:sz w:val="21"/>
          <w:u w:val="single"/>
        </w:rPr>
        <w:t xml:space="preserve">                            </w:t>
      </w:r>
    </w:p>
    <w:p>
      <w:pPr>
        <w:ind w:firstLine="1680"/>
        <w:jc w:val="left"/>
      </w:pPr>
      <w:r>
        <w:rPr>
          <w:sz w:val="28"/>
        </w:rPr>
        <w:t>日期</w:t>
      </w:r>
      <w:r>
        <w:rPr>
          <w:sz w:val="28"/>
        </w:rPr>
        <w:t>：</w:t>
      </w:r>
      <w:r>
        <w:rPr>
          <w:sz w:val="28"/>
          <w:u w:val="single"/>
        </w:rPr>
        <w:t>202</w:t>
      </w:r>
      <w:r>
        <w:rPr>
          <w:sz w:val="28"/>
          <w:u w:val="single"/>
        </w:rPr>
        <w:t>3</w:t>
      </w: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p>
    <w:p>
      <w:pPr>
        <w:jc w:val="both"/>
      </w:pPr>
    </w:p>
    <w:p/>
    <w:p>
      <w:r>
        <w:rPr/>
        <w:t xml:space="preserve"> </w:t>
      </w:r>
    </w:p>
    <w:p>
      <w:pPr>
        <w:jc w:val="left"/>
      </w:pPr>
    </w:p>
    <w:p>
      <w:pPr>
        <w:jc w:val="left"/>
      </w:pPr>
      <w:r>
        <w:rPr>
          <w:sz w:val="28"/>
        </w:rPr>
        <w:t>甲方：</w:t>
      </w:r>
      <w:r>
        <w:rPr>
          <w:sz w:val="28"/>
          <w:u w:val="single"/>
        </w:rPr>
        <w:t>广州中医药大学第三附属医院</w:t>
      </w:r>
    </w:p>
    <w:p>
      <w:pPr>
        <w:jc w:val="left"/>
      </w:pPr>
      <w:r>
        <w:rPr>
          <w:sz w:val="28"/>
        </w:rPr>
        <w:t>乙方：</w:t>
      </w:r>
      <w:r>
        <w:rPr>
          <w:sz w:val="21"/>
          <w:u w:val="single"/>
        </w:rPr>
        <w:t xml:space="preserve">                          </w:t>
      </w:r>
    </w:p>
    <w:p>
      <w:pPr>
        <w:ind w:firstLine="560"/>
        <w:jc w:val="left"/>
      </w:pPr>
    </w:p>
    <w:p>
      <w:pPr>
        <w:ind w:firstLine="560"/>
        <w:jc w:val="left"/>
      </w:pPr>
      <w:r>
        <w:rPr>
          <w:sz w:val="28"/>
        </w:rPr>
        <w:t>为了贯彻</w:t>
      </w:r>
      <w:r>
        <w:rPr>
          <w:sz w:val="28"/>
        </w:rPr>
        <w:t>“安全第一、预防为主、综合治理”的安全生产方针，规范乙方在承接甲方</w:t>
      </w:r>
      <w:r>
        <w:rPr>
          <w:sz w:val="28"/>
        </w:rPr>
        <w:t>工程</w:t>
      </w:r>
      <w:r>
        <w:rPr>
          <w:sz w:val="28"/>
        </w:rPr>
        <w:t>施工、检修、工程安全及其他劳务时的安全行为，促使乙方加强本单位安全生产管理，建立、健全安全生产责任制度和切实有效的安全防范措施，确保安全生产。根据《中华人民共和国安全生产法》、《中华人民共和国民法典》等有关法律法规，双方在平等自愿的基础上，经过充分协商达成如下协议并共同遵守：</w:t>
      </w:r>
    </w:p>
    <w:p>
      <w:pPr>
        <w:jc w:val="left"/>
      </w:pPr>
      <w:r>
        <w:rPr>
          <w:b/>
          <w:sz w:val="28"/>
        </w:rPr>
        <w:t>一、适用对象和范围</w:t>
      </w:r>
    </w:p>
    <w:p>
      <w:pPr>
        <w:ind w:firstLine="560"/>
        <w:jc w:val="left"/>
      </w:pPr>
      <w:r>
        <w:rPr>
          <w:sz w:val="28"/>
        </w:rPr>
        <w:t>甲方与一切具备国家法律法规规定的符合安全生产条件并具有独立承担民事责任资格的单位签订相应建筑装饰装修合同，合同签订后乙方可在甲方生产经营区域内从事相关</w:t>
      </w:r>
      <w:r>
        <w:rPr>
          <w:sz w:val="28"/>
        </w:rPr>
        <w:t>工程</w:t>
      </w:r>
      <w:r>
        <w:rPr>
          <w:sz w:val="28"/>
        </w:rPr>
        <w:t>施工、工程安装及其它有关劳务活动。</w:t>
      </w:r>
    </w:p>
    <w:p>
      <w:pPr>
        <w:ind w:firstLine="560"/>
        <w:jc w:val="left"/>
      </w:pPr>
      <w:r>
        <w:rPr>
          <w:sz w:val="28"/>
        </w:rPr>
        <w:t>合同期内甲、乙双方应当依据本协议约定，享有各自权利、承担各自义务。</w:t>
      </w:r>
    </w:p>
    <w:p>
      <w:pPr>
        <w:jc w:val="left"/>
      </w:pPr>
      <w:r>
        <w:rPr>
          <w:b/>
          <w:sz w:val="28"/>
        </w:rPr>
        <w:t>二、双方应当遵循的基本原则</w:t>
      </w:r>
    </w:p>
    <w:p>
      <w:pPr>
        <w:ind w:firstLine="560"/>
        <w:jc w:val="left"/>
      </w:pPr>
      <w:r>
        <w:rPr>
          <w:sz w:val="28"/>
        </w:rPr>
        <w:t>1、双方安全生产监督管理人员应当坚持原则、忠于职守，严格按本协议的约定履行各自的权利、义务。</w:t>
      </w:r>
    </w:p>
    <w:p>
      <w:pPr>
        <w:ind w:firstLine="560"/>
        <w:jc w:val="left"/>
      </w:pPr>
      <w:r>
        <w:rPr>
          <w:sz w:val="28"/>
        </w:rPr>
        <w:t>2、双方应相互配合，支持安检工作的检查和落实。乙方不得拒绝、阻扰甲方安全监督检查工作。</w:t>
      </w:r>
    </w:p>
    <w:p>
      <w:pPr>
        <w:ind w:firstLine="560"/>
        <w:jc w:val="left"/>
      </w:pPr>
      <w:r>
        <w:rPr>
          <w:sz w:val="28"/>
        </w:rPr>
        <w:t>3、乙方应牢固树立“安全第一”的指导思想，建立健全各项安全管理规章制度，制订并落实各项安全防护措施。</w:t>
      </w:r>
    </w:p>
    <w:p>
      <w:pPr>
        <w:ind w:firstLine="560"/>
        <w:jc w:val="left"/>
      </w:pPr>
      <w:r>
        <w:rPr>
          <w:sz w:val="28"/>
        </w:rPr>
        <w:t>4、双方必须严守技术秘密和业务秘密。任何一方违反保密义务的，应承担由此给对方造成的一切损失。</w:t>
      </w:r>
    </w:p>
    <w:p>
      <w:pPr>
        <w:jc w:val="left"/>
      </w:pPr>
      <w:r>
        <w:rPr>
          <w:b/>
          <w:sz w:val="28"/>
        </w:rPr>
        <w:t>三、甲方的权利、义务</w:t>
      </w:r>
    </w:p>
    <w:p>
      <w:pPr>
        <w:ind w:firstLine="560"/>
        <w:jc w:val="left"/>
      </w:pPr>
      <w:r>
        <w:rPr>
          <w:sz w:val="28"/>
        </w:rPr>
        <w:t>1、乙方人员进入施工（检修、劳务）现场之前，甲方应以书面形式告之乙方本单位相关安全管理规章制度。</w:t>
      </w:r>
    </w:p>
    <w:p>
      <w:pPr>
        <w:ind w:firstLine="560"/>
        <w:jc w:val="left"/>
      </w:pPr>
      <w:r>
        <w:rPr>
          <w:sz w:val="28"/>
        </w:rPr>
        <w:t>2、安全监督管理部门为本协议甲方安全生产责任的职能管理部门，负责对乙方施工、检修、劳务等作业过程中的安全管理工作进行监督检查。</w:t>
      </w:r>
    </w:p>
    <w:p>
      <w:pPr>
        <w:ind w:firstLine="560"/>
        <w:jc w:val="left"/>
      </w:pPr>
      <w:r>
        <w:rPr>
          <w:sz w:val="28"/>
        </w:rPr>
        <w:t>3、甲方针对乙方行为所作出的安全检查，必须有书面记录。并且，甲方必须立即将检查情况向乙方通报。</w:t>
      </w:r>
    </w:p>
    <w:p>
      <w:pPr>
        <w:ind w:firstLine="560"/>
        <w:jc w:val="left"/>
      </w:pPr>
      <w:r>
        <w:rPr>
          <w:sz w:val="28"/>
        </w:rPr>
        <w:t>4、甲方安全监督管理部门对乙方进行安全检查时，有权向乙方询问有关安全措施落实情况，调阅有关安全措施资料，指导或提出安检意见和建议。</w:t>
      </w:r>
    </w:p>
    <w:p>
      <w:pPr>
        <w:ind w:firstLine="560"/>
        <w:jc w:val="left"/>
      </w:pPr>
      <w:r>
        <w:rPr>
          <w:sz w:val="28"/>
        </w:rPr>
        <w:t>5、甲方对乙方工作中存在的重大安全隐患，有权责令乙方立即整改、排除。否则有权单方终止与乙方之间的相关经济业务合同的履行。</w:t>
      </w:r>
    </w:p>
    <w:p>
      <w:pPr>
        <w:ind w:firstLine="560"/>
        <w:jc w:val="left"/>
      </w:pPr>
      <w:r>
        <w:rPr>
          <w:sz w:val="28"/>
        </w:rPr>
        <w:t>6、甲方应当为乙方提供安全、规范的施工、检修、劳务作业现场，承诺不因其过错或消极不作为而给乙方造成安全隐患。</w:t>
      </w:r>
    </w:p>
    <w:p>
      <w:pPr>
        <w:ind w:firstLine="560"/>
        <w:jc w:val="left"/>
      </w:pPr>
      <w:r>
        <w:rPr>
          <w:sz w:val="28"/>
        </w:rPr>
        <w:t>7、甲方应明确乙方进行具体安检工作的机构和责任人，建立完备、规范的安检记录档案，对从事高危行业工作的人员必须审核其是否具备国家认可的相关资质。</w:t>
      </w:r>
    </w:p>
    <w:p>
      <w:pPr>
        <w:jc w:val="left"/>
      </w:pPr>
      <w:r>
        <w:rPr>
          <w:b/>
          <w:sz w:val="28"/>
        </w:rPr>
        <w:t>四、乙方的权利、义务</w:t>
      </w:r>
    </w:p>
    <w:p>
      <w:pPr>
        <w:ind w:firstLine="560"/>
        <w:jc w:val="left"/>
      </w:pPr>
      <w:r>
        <w:rPr>
          <w:sz w:val="28"/>
        </w:rPr>
        <w:t>1、乙方严禁将承包的工程或部分工程转包或者违法分包。否则所发生安全事故，由乙方自行承担全部安全生产责任。</w:t>
      </w:r>
    </w:p>
    <w:p>
      <w:pPr>
        <w:ind w:firstLine="560"/>
        <w:jc w:val="left"/>
      </w:pPr>
      <w:r>
        <w:rPr>
          <w:sz w:val="28"/>
        </w:rPr>
        <w:t>2、乙方人员应当自觉遵守甲方规章制度，接受甲方安全检查、监督，对违反甲方有关安全管理制度及规定的行为，甲方有权责令乙方立即停止并给予考核。</w:t>
      </w:r>
    </w:p>
    <w:p>
      <w:pPr>
        <w:ind w:firstLine="560"/>
        <w:jc w:val="left"/>
      </w:pPr>
      <w:r>
        <w:rPr>
          <w:sz w:val="28"/>
        </w:rPr>
        <w:t>3、乙方应具有安全管理组织体制（对特种作业的项目乙方必须出具相应的有效资质证书），在甲方施工、检修、劳务等现场作业期间，乙方应指派专（兼）职安全人员，联系电话，全面负责项目的安全、现场、消防工作。若更换指派的专（兼）职安全人员，应提前书面通知甲方。</w:t>
      </w:r>
    </w:p>
    <w:p>
      <w:pPr>
        <w:ind w:firstLine="560"/>
        <w:jc w:val="left"/>
      </w:pPr>
      <w:r>
        <w:rPr>
          <w:sz w:val="28"/>
        </w:rPr>
        <w:t>4、乙方人员进入甲方施工（检修、劳务）现场前，必须到甲方基建科、保卫科办好一切入场手续，接受安全教育，严禁“三无”人员进入甲方工作区域，乙方人员必须按在甲方登记备案的名册人员进入作业区域，未经甲方书面认可不得擅自更换，否则所发生安全事故，由乙方自行承担全部安全生产责任。</w:t>
      </w:r>
    </w:p>
    <w:p>
      <w:pPr>
        <w:ind w:firstLine="560"/>
        <w:jc w:val="left"/>
      </w:pPr>
      <w:r>
        <w:rPr>
          <w:sz w:val="28"/>
        </w:rPr>
        <w:t>5、乙方各类作业人员必须具有相应的安全技术素质，特种作业人员必须持有有效的特种作业操作证方准上岗，所使用的特种作业设备必须取得有效的特种作业设备强制安全检验合格证，方准现场使用。</w:t>
      </w:r>
    </w:p>
    <w:p>
      <w:pPr>
        <w:ind w:firstLine="560"/>
        <w:jc w:val="left"/>
      </w:pPr>
      <w:r>
        <w:rPr>
          <w:sz w:val="28"/>
        </w:rPr>
        <w:t>6、乙方人员在作业期间应当接受甲方的安全监督检查，经查证发现的安全隐患，乙方必须立即采取有效措施予以整改或纠正，否则甲方有权现场勒令停工。</w:t>
      </w:r>
    </w:p>
    <w:p>
      <w:pPr>
        <w:ind w:firstLine="560"/>
        <w:jc w:val="left"/>
      </w:pPr>
      <w:r>
        <w:rPr>
          <w:sz w:val="28"/>
        </w:rPr>
        <w:t>7、乙方人员在甲方作业期间，必须按工种需要正确穿戴好劳保防护用品，同时应严格遵守甲方各项安全生产管理制度。</w:t>
      </w:r>
    </w:p>
    <w:p>
      <w:pPr>
        <w:ind w:firstLine="560"/>
        <w:jc w:val="left"/>
      </w:pPr>
      <w:r>
        <w:rPr>
          <w:sz w:val="28"/>
        </w:rPr>
        <w:t>8、乙方管理人员在员工作业前应先熟悉现场，并对所处区域的作业环境可能存在的危险因素、预防措施给员工进行交底，同时对使用的设施设备等，负有认真检查和确认的义务，严禁设施、设备等带病作业，否则因此而产生的一切法律后果，由乙方自行承担。</w:t>
      </w:r>
    </w:p>
    <w:p>
      <w:pPr>
        <w:ind w:firstLine="560"/>
        <w:jc w:val="left"/>
      </w:pPr>
      <w:r>
        <w:rPr>
          <w:sz w:val="28"/>
        </w:rPr>
        <w:t>9、乙方人员在作业现场不得擅自动用或操作甲方的设备和机具，否则按本协议约定视为违约，承担违约金，因此酿成的后果由乙方自行负责。</w:t>
      </w:r>
    </w:p>
    <w:p>
      <w:pPr>
        <w:ind w:firstLine="560"/>
        <w:jc w:val="left"/>
      </w:pPr>
      <w:r>
        <w:rPr>
          <w:sz w:val="28"/>
        </w:rPr>
        <w:t>10、乙方人员凡高空作业必须有专人安全监护，不得一人操作。作业人员必须按规定穿戴好劳保防护用品，系好安全绳、安全带（高挂低用），扎好裤脚，戴好安全帽；不准穿光滑底、硬鞋底。当需要在石棉瓦等轻型屋面工作或因作业场所环境限制无法系安全带时，乙方必须采取安全行走的技术措施，如铺设木板、跳板并加安全防护生等和在作业面下部增加安全防护网，严禁在没有安全技术措施的情况下冒险踩踏和作业。</w:t>
      </w:r>
    </w:p>
    <w:p>
      <w:pPr>
        <w:ind w:firstLine="560"/>
        <w:jc w:val="left"/>
      </w:pPr>
      <w:r>
        <w:rPr>
          <w:sz w:val="28"/>
        </w:rPr>
        <w:t>11、乙方在作业期间自备的设备必须符合安全要求，如需借用（租赁）甲方设备、工器具，应由双方协商办理租借手续，借用方应保证设备、工器具符合安全要求，租借方必须经行验收确认并作好书面记录，租借方一经接受使用，表示该设备（工器具）完好无安全隐患，若造成安全事故，后果全由租借方自行负责。</w:t>
      </w:r>
    </w:p>
    <w:p>
      <w:pPr>
        <w:ind w:firstLine="560"/>
        <w:jc w:val="left"/>
      </w:pPr>
      <w:r>
        <w:rPr>
          <w:sz w:val="28"/>
        </w:rPr>
        <w:t>12、在易燃、易爆、有毒有害危险区域进行施工作业，甲乙双方必须严格执行有关专业管理制度，采取有效的预防措施，并办理相关的开工或动火手续，乙方必须提前将安全预防措施报送甲方在危险区域范围内的单位和甲方安全监督管理部审核，甲方在收到其报送资料后，应当于48小时内作出是否同意的决定。</w:t>
      </w:r>
    </w:p>
    <w:p>
      <w:pPr>
        <w:ind w:firstLine="560"/>
        <w:jc w:val="left"/>
      </w:pPr>
      <w:r>
        <w:rPr>
          <w:sz w:val="28"/>
        </w:rPr>
        <w:t>13、乙方人员在施工（检修、劳务）期间发生的伤害事故由乙方负全部责任，与甲方无关。</w:t>
      </w:r>
    </w:p>
    <w:p>
      <w:pPr>
        <w:ind w:firstLine="560"/>
        <w:jc w:val="left"/>
      </w:pPr>
      <w:r>
        <w:rPr>
          <w:sz w:val="28"/>
        </w:rPr>
        <w:t>14、乙方所承建的项目：</w:t>
      </w:r>
      <w:r>
        <w:rPr>
          <w:sz w:val="28"/>
          <w:u w:val="single"/>
        </w:rPr>
        <w:t>广州中医药大学第三附属医院</w:t>
      </w:r>
      <w:r>
        <w:rPr>
          <w:sz w:val="28"/>
          <w:u w:val="single"/>
        </w:rPr>
        <w:t>骨伤科分院电力增容工程</w:t>
      </w:r>
      <w:r>
        <w:rPr>
          <w:sz w:val="28"/>
          <w:u w:val="single"/>
        </w:rPr>
        <w:t>。</w:t>
      </w:r>
    </w:p>
    <w:p>
      <w:pPr>
        <w:jc w:val="left"/>
      </w:pPr>
      <w:r>
        <w:rPr>
          <w:b/>
          <w:sz w:val="28"/>
        </w:rPr>
        <w:t>五、施工现场安全管理违约罚则：</w:t>
      </w:r>
    </w:p>
    <w:p>
      <w:pPr>
        <w:ind w:firstLine="560"/>
        <w:jc w:val="left"/>
      </w:pPr>
      <w:r>
        <w:rPr>
          <w:sz w:val="28"/>
        </w:rPr>
        <w:t>1、进入施工现场不戴安全帽的，按每人次支付违约金100元。</w:t>
      </w:r>
    </w:p>
    <w:p>
      <w:pPr>
        <w:ind w:firstLine="560"/>
        <w:jc w:val="left"/>
      </w:pPr>
      <w:r>
        <w:rPr>
          <w:sz w:val="28"/>
        </w:rPr>
        <w:t>2、施工现场随意吸烟者，按每人次支付违约金100元。</w:t>
      </w:r>
    </w:p>
    <w:p>
      <w:pPr>
        <w:ind w:firstLine="560"/>
        <w:jc w:val="left"/>
      </w:pPr>
      <w:r>
        <w:rPr>
          <w:sz w:val="28"/>
        </w:rPr>
        <w:t>3、施工人员着装随意、赤臂、穿拖鞋上岗的，按每人次支付违约金100元。</w:t>
      </w:r>
    </w:p>
    <w:p>
      <w:pPr>
        <w:ind w:firstLine="560"/>
        <w:jc w:val="left"/>
      </w:pPr>
      <w:r>
        <w:rPr>
          <w:sz w:val="28"/>
        </w:rPr>
        <w:t>4、醉酒上岗者，按每人次支付违约金500元。</w:t>
      </w:r>
    </w:p>
    <w:p>
      <w:pPr>
        <w:ind w:firstLine="560"/>
        <w:jc w:val="left"/>
      </w:pPr>
      <w:r>
        <w:rPr>
          <w:sz w:val="28"/>
        </w:rPr>
        <w:t>5、发生打架、斗殴事件，支付违约金3000元。</w:t>
      </w:r>
    </w:p>
    <w:p>
      <w:pPr>
        <w:ind w:firstLine="560"/>
        <w:jc w:val="left"/>
      </w:pPr>
      <w:r>
        <w:rPr>
          <w:sz w:val="28"/>
        </w:rPr>
        <w:t>6、未经允许任意拆除或移动安全防护设备的，支付违约金500元。</w:t>
      </w:r>
    </w:p>
    <w:p>
      <w:pPr>
        <w:ind w:firstLine="560"/>
        <w:jc w:val="left"/>
      </w:pPr>
      <w:r>
        <w:rPr>
          <w:sz w:val="28"/>
        </w:rPr>
        <w:t>7、楼层内未按要求做到工完场清的，支付违约金1000元。</w:t>
      </w:r>
    </w:p>
    <w:p>
      <w:pPr>
        <w:jc w:val="left"/>
      </w:pPr>
      <w:r>
        <w:rPr>
          <w:b/>
          <w:sz w:val="28"/>
        </w:rPr>
        <w:t>六、</w:t>
      </w:r>
      <w:r>
        <w:rPr>
          <w:b/>
          <w:sz w:val="28"/>
        </w:rPr>
        <w:t>附则：</w:t>
      </w:r>
    </w:p>
    <w:p>
      <w:pPr>
        <w:ind w:firstLine="560"/>
        <w:jc w:val="left"/>
      </w:pPr>
      <w:r>
        <w:rPr>
          <w:sz w:val="28"/>
        </w:rPr>
        <w:t>1、本协议与双方所签订的相关业务主合同具有同等法律效力。</w:t>
      </w:r>
    </w:p>
    <w:p>
      <w:pPr>
        <w:ind w:firstLine="560"/>
        <w:jc w:val="left"/>
      </w:pPr>
      <w:r>
        <w:rPr>
          <w:sz w:val="28"/>
        </w:rPr>
        <w:t>2、本协议自签订之日起生效，至工程竣工验收合格之日止。</w:t>
      </w:r>
    </w:p>
    <w:p>
      <w:pPr>
        <w:jc w:val="left"/>
      </w:pPr>
      <w:r>
        <w:rPr>
          <w:b/>
          <w:sz w:val="28"/>
        </w:rPr>
        <w:t>七、协议未尽事宜，由双方另行协商处理。</w:t>
      </w:r>
    </w:p>
    <w:p>
      <w:pPr>
        <w:jc w:val="left"/>
      </w:pPr>
      <w:r>
        <w:rPr>
          <w:b/>
          <w:sz w:val="28"/>
        </w:rPr>
        <w:t>八、本协议在履行过程中发生争议，由双方协商解决，协商不成可向甲方所在地有管辖权的法院提起诉讼。</w:t>
      </w:r>
    </w:p>
    <w:p>
      <w:pPr>
        <w:jc w:val="left"/>
      </w:pPr>
      <w:r>
        <w:rPr>
          <w:b/>
          <w:sz w:val="28"/>
        </w:rPr>
        <w:t>九、本协议一式陆份，甲、乙双方各执叁份，具有同等法律效力，双方代表签字盖章后生效。</w:t>
      </w:r>
    </w:p>
    <w:p>
      <w:pPr>
        <w:jc w:val="left"/>
      </w:pPr>
      <w:r>
        <w:rPr>
          <w:b/>
          <w:sz w:val="28"/>
        </w:rPr>
        <w:t>十、本合同履行地：甲方所在地。</w:t>
      </w:r>
    </w:p>
    <w:p>
      <w:pPr>
        <w:jc w:val="left"/>
      </w:pPr>
    </w:p>
    <w:p>
      <w:pPr>
        <w:jc w:val="left"/>
      </w:pPr>
    </w:p>
    <w:p>
      <w:pPr>
        <w:jc w:val="left"/>
      </w:pPr>
      <w:r>
        <w:rPr>
          <w:sz w:val="28"/>
        </w:rPr>
        <w:t>甲方：</w:t>
      </w:r>
      <w:r>
        <w:rPr>
          <w:sz w:val="28"/>
        </w:rPr>
        <w:t xml:space="preserve">                      </w:t>
      </w:r>
      <w:r>
        <w:rPr>
          <w:sz w:val="21"/>
        </w:rPr>
        <w:t xml:space="preserve">   </w:t>
      </w:r>
      <w:r>
        <w:rPr>
          <w:sz w:val="28"/>
        </w:rPr>
        <w:t xml:space="preserve">  </w:t>
      </w:r>
      <w:r>
        <w:rPr>
          <w:sz w:val="28"/>
        </w:rPr>
        <w:t>乙方：</w:t>
      </w:r>
    </w:p>
    <w:p>
      <w:pPr>
        <w:jc w:val="left"/>
      </w:pPr>
    </w:p>
    <w:p>
      <w:pPr>
        <w:jc w:val="left"/>
      </w:pPr>
      <w:r>
        <w:rPr>
          <w:sz w:val="28"/>
        </w:rPr>
        <w:t>代表：</w:t>
      </w:r>
      <w:r>
        <w:rPr>
          <w:sz w:val="28"/>
        </w:rPr>
        <w:t xml:space="preserve">                           </w:t>
      </w:r>
      <w:r>
        <w:rPr>
          <w:sz w:val="28"/>
        </w:rPr>
        <w:t>代表：</w:t>
      </w:r>
    </w:p>
    <w:p>
      <w:pPr>
        <w:jc w:val="left"/>
      </w:pPr>
      <w:r>
        <w:rPr>
          <w:sz w:val="21"/>
        </w:rPr>
        <w:t xml:space="preserve"> </w:t>
      </w:r>
    </w:p>
    <w:p>
      <w:pPr>
        <w:jc w:val="left"/>
      </w:pPr>
      <w:r>
        <w:rPr>
          <w:sz w:val="28"/>
        </w:rPr>
        <w:t>202</w:t>
      </w:r>
      <w:r>
        <w:rPr>
          <w:sz w:val="28"/>
        </w:rPr>
        <w:t>3</w:t>
      </w:r>
      <w:r>
        <w:rPr>
          <w:sz w:val="28"/>
        </w:rPr>
        <w:t>年</w:t>
      </w:r>
      <w:r>
        <w:rPr>
          <w:sz w:val="28"/>
        </w:rPr>
        <w:t xml:space="preserve"> </w:t>
      </w:r>
      <w:r>
        <w:rPr>
          <w:sz w:val="28"/>
        </w:rPr>
        <w:t>月</w:t>
      </w:r>
      <w:r>
        <w:rPr>
          <w:sz w:val="28"/>
        </w:rPr>
        <w:t xml:space="preserve">  </w:t>
      </w:r>
      <w:r>
        <w:rPr>
          <w:sz w:val="28"/>
        </w:rPr>
        <w:t>日</w:t>
      </w:r>
      <w:r>
        <w:rPr>
          <w:sz w:val="28"/>
        </w:rPr>
        <w:t xml:space="preserve">          </w:t>
      </w:r>
      <w:r>
        <w:rPr>
          <w:sz w:val="21"/>
        </w:rPr>
        <w:t xml:space="preserve">     </w:t>
      </w:r>
      <w:r>
        <w:rPr>
          <w:sz w:val="28"/>
        </w:rPr>
        <w:t xml:space="preserve">   </w:t>
      </w:r>
      <w:r>
        <w:rPr>
          <w:sz w:val="28"/>
        </w:rPr>
        <w:t>202</w:t>
      </w:r>
      <w:r>
        <w:rPr>
          <w:sz w:val="28"/>
        </w:rPr>
        <w:t>3</w:t>
      </w:r>
      <w:r>
        <w:rPr>
          <w:sz w:val="28"/>
        </w:rPr>
        <w:t>年</w:t>
      </w:r>
      <w:r>
        <w:rPr>
          <w:sz w:val="28"/>
        </w:rPr>
        <w:t xml:space="preserve"> </w:t>
      </w:r>
      <w:r>
        <w:rPr>
          <w:sz w:val="28"/>
        </w:rPr>
        <w:t>月</w:t>
      </w:r>
      <w:r>
        <w:rPr>
          <w:sz w:val="28"/>
        </w:rPr>
        <w:t xml:space="preserve"> </w:t>
      </w:r>
      <w:r>
        <w:rPr>
          <w:sz w:val="28"/>
        </w:rPr>
        <w:t>日</w:t>
      </w:r>
    </w:p>
    <w:p>
      <w:pPr>
        <w:jc w:val="both"/>
      </w:pPr>
    </w:p>
    <w:p/>
    <w:p>
      <w:r>
        <w:rPr/>
        <w:t xml:space="preserve"> </w:t>
      </w:r>
    </w:p>
    <w:p>
      <w:pPr>
        <w:jc w:val="both"/>
      </w:pPr>
      <w:r>
        <w:rPr>
          <w:sz w:val="21"/>
        </w:rPr>
        <w:t>附件</w:t>
      </w:r>
      <w:r>
        <w:rPr>
          <w:sz w:val="21"/>
        </w:rPr>
        <w:t>4</w:t>
      </w:r>
      <w:r>
        <w:rPr>
          <w:sz w:val="21"/>
        </w:rPr>
        <w:t>：</w:t>
      </w:r>
    </w:p>
    <w:p>
      <w:pPr>
        <w:ind w:firstLine="420"/>
        <w:jc w:val="both"/>
      </w:pPr>
    </w:p>
    <w:p>
      <w:pPr>
        <w:jc w:val="center"/>
      </w:pPr>
      <w:r>
        <w:rPr>
          <w:b/>
          <w:sz w:val="44"/>
        </w:rPr>
        <w:t>廉政协议</w:t>
      </w:r>
    </w:p>
    <w:p>
      <w:pPr>
        <w:jc w:val="both"/>
      </w:pPr>
    </w:p>
    <w:p>
      <w:pPr>
        <w:jc w:val="both"/>
      </w:pPr>
      <w:r>
        <w:rPr>
          <w:b/>
          <w:sz w:val="24"/>
        </w:rPr>
        <w:t>甲方：</w:t>
      </w:r>
      <w:r>
        <w:rPr>
          <w:b/>
          <w:sz w:val="24"/>
          <w:u w:val="single"/>
        </w:rPr>
        <w:t>广州中医药大学第三附属医院</w:t>
      </w:r>
    </w:p>
    <w:p>
      <w:pPr>
        <w:jc w:val="both"/>
      </w:pPr>
    </w:p>
    <w:p>
      <w:pPr>
        <w:jc w:val="both"/>
      </w:pPr>
      <w:r>
        <w:rPr>
          <w:b/>
          <w:sz w:val="24"/>
        </w:rPr>
        <w:t>乙方：</w:t>
      </w:r>
      <w:r>
        <w:rPr>
          <w:b/>
          <w:sz w:val="21"/>
          <w:u w:val="single"/>
        </w:rPr>
        <w:t xml:space="preserve">                          </w:t>
      </w:r>
    </w:p>
    <w:p>
      <w:pPr>
        <w:jc w:val="both"/>
      </w:pPr>
    </w:p>
    <w:p>
      <w:pPr>
        <w:ind w:firstLine="480"/>
        <w:jc w:val="both"/>
      </w:pPr>
      <w:r>
        <w:rPr>
          <w:sz w:val="24"/>
        </w:rPr>
        <w:t>为加强廉政建设，防止发生各种谋取不正当利益的违法违纪行为，保障顺畅的商业秩序和公平的商业环境，确保双方工作人员在合同履行过程中廉洁自律、诚实守信，保护双方的合法权益，签订本廉政协议书。</w:t>
      </w:r>
    </w:p>
    <w:p>
      <w:pPr>
        <w:ind w:firstLine="480"/>
        <w:jc w:val="both"/>
      </w:pPr>
      <w:r>
        <w:rPr>
          <w:sz w:val="24"/>
        </w:rPr>
        <w:t>一、严禁甲方人员以任何方式明、暗示乙方请吃、请喝、收受乙方礼金、礼品或接受乙方提供的其它私人便利或利益。严禁乙方以任何方式向甲方人员提供私人便利、行贿或非正常商务宴请。</w:t>
      </w:r>
    </w:p>
    <w:p>
      <w:pPr>
        <w:ind w:firstLine="480"/>
        <w:jc w:val="both"/>
      </w:pPr>
      <w:r>
        <w:rPr>
          <w:sz w:val="24"/>
        </w:rPr>
        <w:t>二、如果出现乙方在履约过程进行私下请吃、向甲方人员提供私人便利、行贿等一切非正常的经济活动，一经查实，甲方有权单方终止上述行为所涉及的相关合同，且乙方须承担由此造成的一切损失，甲方保留追究其法律责任的权利；如果乙方事后主动积极向甲方陈述事实，或有证据显示以上行为为甲方人员施压的不得已行为，则乙方仍保留上述行为相关的合同的权利和义务。涉嫌犯罪的，移交司法机关追究弄事责任；给甲方造成经济损失的，应予以赔偿。</w:t>
      </w:r>
    </w:p>
    <w:p>
      <w:pPr>
        <w:ind w:firstLine="480"/>
        <w:jc w:val="both"/>
      </w:pPr>
      <w:r>
        <w:rPr>
          <w:sz w:val="24"/>
        </w:rPr>
        <w:t>三、本合同作为</w:t>
      </w:r>
      <w:r>
        <w:rPr>
          <w:sz w:val="24"/>
          <w:u w:val="single"/>
        </w:rPr>
        <w:t>广州中医药大学第三附属医院</w:t>
      </w:r>
      <w:r>
        <w:rPr>
          <w:sz w:val="24"/>
          <w:u w:val="single"/>
        </w:rPr>
        <w:t>骨伤科分院电力增容工程</w:t>
      </w:r>
      <w:r>
        <w:rPr>
          <w:sz w:val="24"/>
          <w:u w:val="single"/>
        </w:rPr>
        <w:t>合同</w:t>
      </w:r>
      <w:r>
        <w:rPr>
          <w:sz w:val="24"/>
        </w:rPr>
        <w:t>（以下简称：</w:t>
      </w:r>
      <w:r>
        <w:rPr>
          <w:sz w:val="24"/>
        </w:rPr>
        <w:t>“工程合同”）的重要组成部分，与工程合同一并执行，具有同等的法律效力。</w:t>
      </w:r>
    </w:p>
    <w:p>
      <w:pPr>
        <w:ind w:firstLine="480"/>
        <w:jc w:val="both"/>
      </w:pPr>
      <w:r>
        <w:rPr>
          <w:sz w:val="24"/>
        </w:rPr>
        <w:t>四、本合同壹式陆份，甲、乙双方各执叁份，并从签订之日起生效。</w:t>
      </w:r>
    </w:p>
    <w:p>
      <w:pPr>
        <w:jc w:val="both"/>
      </w:pPr>
    </w:p>
    <w:p>
      <w:pPr>
        <w:jc w:val="both"/>
      </w:pPr>
    </w:p>
    <w:p>
      <w:pPr>
        <w:jc w:val="both"/>
      </w:pPr>
      <w:r>
        <w:rPr>
          <w:b/>
          <w:sz w:val="24"/>
        </w:rPr>
        <w:t>甲方（盖章）：</w:t>
      </w:r>
      <w:r>
        <w:rPr>
          <w:b/>
          <w:sz w:val="24"/>
        </w:rPr>
        <w:t xml:space="preserve">                     </w:t>
      </w:r>
      <w:r>
        <w:rPr>
          <w:b/>
          <w:sz w:val="24"/>
        </w:rPr>
        <w:t>乙方（盖章）：</w:t>
      </w:r>
    </w:p>
    <w:p>
      <w:pPr>
        <w:jc w:val="both"/>
      </w:pPr>
      <w:r>
        <w:rPr>
          <w:b/>
          <w:sz w:val="24"/>
        </w:rPr>
        <w:t>法定代表人（负责人）：</w:t>
      </w:r>
      <w:r>
        <w:rPr>
          <w:b/>
          <w:sz w:val="24"/>
        </w:rPr>
        <w:t xml:space="preserve">             </w:t>
      </w:r>
      <w:r>
        <w:rPr>
          <w:b/>
          <w:sz w:val="24"/>
        </w:rPr>
        <w:t>法定代表人（负责人）：</w:t>
      </w:r>
    </w:p>
    <w:p>
      <w:pPr>
        <w:ind w:firstLine="1554"/>
        <w:jc w:val="both"/>
      </w:pPr>
      <w:r>
        <w:rPr>
          <w:b/>
          <w:sz w:val="24"/>
        </w:rPr>
        <w:t>年</w:t>
      </w:r>
      <w:r>
        <w:rPr>
          <w:b/>
          <w:sz w:val="24"/>
        </w:rPr>
        <w:t xml:space="preserve"> </w:t>
      </w:r>
      <w:r>
        <w:rPr>
          <w:b/>
          <w:sz w:val="24"/>
        </w:rPr>
        <w:t>月</w:t>
      </w:r>
      <w:r>
        <w:rPr>
          <w:b/>
          <w:sz w:val="24"/>
        </w:rPr>
        <w:t xml:space="preserve">  </w:t>
      </w:r>
      <w:r>
        <w:rPr>
          <w:b/>
          <w:sz w:val="24"/>
        </w:rPr>
        <w:t>日</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440001-2023-41055</w:t>
      </w:r>
    </w:p>
    <w:p>
      <w:pPr>
        <w:jc w:val="center"/>
      </w:pPr>
      <w:r>
        <w:rPr>
          <w:b/>
          <w:sz w:val="24"/>
        </w:rPr>
        <w:t>采购项目编号：</w:t>
      </w:r>
      <w:r>
        <w:rPr>
          <w:b/>
          <w:sz w:val="24"/>
        </w:rPr>
        <w:t>M4400000707021118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广东省机电设备招标有限公司</w:t>
      </w:r>
    </w:p>
    <w:p>
      <w:pPr>
        <w:ind w:firstLine="480"/>
      </w:pPr>
      <w:r>
        <w:rPr/>
        <w:t>你方组织的</w:t>
      </w:r>
      <w:r>
        <w:rPr>
          <w:u w:val="single"/>
        </w:rPr>
        <w:t>“</w:t>
      </w:r>
      <w:r>
        <w:rPr>
          <w:u w:val="single"/>
        </w:rPr>
        <w:t>广州中医药大学第三附属医院骨伤科分院电力增容工程</w:t>
      </w:r>
      <w:r>
        <w:rPr>
          <w:u w:val="single"/>
        </w:rPr>
        <w:t>”</w:t>
      </w:r>
      <w:r>
        <w:rPr/>
        <w:t>项目的竞争性磋商[采购项目编号为：</w:t>
      </w:r>
      <w:r>
        <w:rPr>
          <w:u w:val="single"/>
        </w:rPr>
        <w:t>M4400000707021118</w:t>
      </w:r>
      <w:r>
        <w:rPr/>
        <w:t>]，我方愿参与响应。</w:t>
      </w:r>
    </w:p>
    <w:p>
      <w:pPr>
        <w:ind w:firstLine="480"/>
      </w:pPr>
      <w:r>
        <w:rPr/>
        <w:t>我方确认收到贵方提供的</w:t>
      </w:r>
      <w:r>
        <w:rPr>
          <w:u w:val="single"/>
        </w:rPr>
        <w:t>“</w:t>
      </w:r>
      <w:r>
        <w:rPr>
          <w:u w:val="single"/>
        </w:rPr>
        <w:t>广州中医药大学第三附属医院骨伤科分院电力增容工程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广东省机电设备招标有限公司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广州中医药大学第三附属医院骨伤科分院电力增容工程</w:t>
      </w:r>
      <w:r>
        <w:rPr/>
        <w:t>”项目采购[采购项目编号为</w:t>
      </w:r>
      <w:r>
        <w:rPr/>
        <w:t>M4400000707021118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广州中医药大学第三附属医院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广东省机电设备招标有限公司</w:t>
      </w:r>
    </w:p>
    <w:p>
      <w:pPr>
        <w:ind w:firstLine="480"/>
      </w:pPr>
      <w:r>
        <w:rPr/>
        <w:t>我单位参加贵公司组织的</w:t>
      </w:r>
      <w:r>
        <w:rPr/>
        <w:t>广州中医药大学第三附属医院骨伤科分院电力增容工程</w:t>
      </w:r>
      <w:r>
        <w:rPr/>
        <w:t>（采购项目编号：</w:t>
      </w:r>
      <w:r>
        <w:rPr/>
        <w:t>M4400000707021118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广东省机电设备招标有限公司</w:t>
      </w:r>
    </w:p>
    <w:p>
      <w:pPr>
        <w:ind w:firstLine="480"/>
      </w:pPr>
      <w:r>
        <w:rPr/>
        <w:t>我单位已登记并准备参与“</w:t>
      </w:r>
      <w:r>
        <w:rPr/>
        <w:t>广州中医药大学第三附属医院骨伤科分院电力增容工程</w:t>
      </w:r>
      <w:r>
        <w:rPr/>
        <w:t>”项目（采购项目编号：</w:t>
      </w:r>
      <w:r>
        <w:rPr/>
        <w:t>M4400000707021118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