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6349F1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广州中医药大学第三附属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医院制剂中心加装监控设施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2B1D4F98"/>
    <w:rsid w:val="34E530C2"/>
    <w:rsid w:val="367E192F"/>
    <w:rsid w:val="49690864"/>
    <w:rsid w:val="6F756007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525</Characters>
  <Lines>0</Lines>
  <Paragraphs>0</Paragraphs>
  <TotalTime>0</TotalTime>
  <ScaleCrop>false</ScaleCrop>
  <LinksUpToDate>false</LinksUpToDate>
  <CharactersWithSpaces>532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2025-10-15T09:23:03Z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D118B95B89BE49FDAA75029AD32A0907_13</vt:lpwstr>
  </property>
  <property fmtid="{D5CDD505-2E9C-101B-9397-08002B2CF9AE}" pid="4" name="KSOTemplateDocerSaveRecord">
    <vt:lpwstr>eyJoZGlkIjoiZDUxNTViYjk1OTMxYTUzZmU4NjE5MDQ4ODZhZGRmMTUiLCJ1c2VySWQiOiIxNzQ1NjU4MzIxIn0=</vt:lpwstr>
  </property>
</Properties>
</file>